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1494342"/>
    <w:bookmarkStart w:id="1" w:name="_MacBuGuideStaticData_12944H"/>
    <w:p w14:paraId="3A7C58A3" w14:textId="77777777" w:rsidR="00480357" w:rsidRDefault="002546A1">
      <w:pPr>
        <w:pStyle w:val="TOC1"/>
        <w:rPr>
          <w:rFonts w:asciiTheme="minorHAnsi" w:eastAsiaTheme="minorEastAsia" w:hAnsiTheme="minorHAnsi" w:cstheme="minorBidi"/>
          <w:b w:val="0"/>
          <w:sz w:val="24"/>
          <w:szCs w:val="24"/>
        </w:rPr>
      </w:pPr>
      <w:r>
        <w:fldChar w:fldCharType="begin"/>
      </w:r>
      <w:r>
        <w:instrText xml:space="preserve"> TOC \o "1-2" \p " " \h \z \u </w:instrText>
      </w:r>
      <w:r>
        <w:fldChar w:fldCharType="separate"/>
      </w:r>
      <w:hyperlink w:anchor="_Toc485999052" w:history="1">
        <w:r w:rsidR="00480357" w:rsidRPr="00F62A52">
          <w:rPr>
            <w:rStyle w:val="Hyperlink"/>
          </w:rPr>
          <w:t>Introduction</w:t>
        </w:r>
        <w:r w:rsidR="00480357">
          <w:rPr>
            <w:webHidden/>
          </w:rPr>
          <w:t xml:space="preserve"> </w:t>
        </w:r>
        <w:r w:rsidR="00480357">
          <w:rPr>
            <w:webHidden/>
          </w:rPr>
          <w:fldChar w:fldCharType="begin"/>
        </w:r>
        <w:r w:rsidR="00480357">
          <w:rPr>
            <w:webHidden/>
          </w:rPr>
          <w:instrText xml:space="preserve"> PAGEREF _Toc485999052 \h </w:instrText>
        </w:r>
        <w:r w:rsidR="00480357">
          <w:rPr>
            <w:webHidden/>
          </w:rPr>
        </w:r>
        <w:r w:rsidR="00480357">
          <w:rPr>
            <w:webHidden/>
          </w:rPr>
          <w:fldChar w:fldCharType="separate"/>
        </w:r>
        <w:r w:rsidR="00480357">
          <w:rPr>
            <w:webHidden/>
          </w:rPr>
          <w:t>1</w:t>
        </w:r>
        <w:r w:rsidR="00480357">
          <w:rPr>
            <w:webHidden/>
          </w:rPr>
          <w:fldChar w:fldCharType="end"/>
        </w:r>
      </w:hyperlink>
    </w:p>
    <w:p w14:paraId="4F612ECB" w14:textId="77777777" w:rsidR="00480357" w:rsidRDefault="00090FB3">
      <w:pPr>
        <w:pStyle w:val="TOC1"/>
        <w:rPr>
          <w:rFonts w:asciiTheme="minorHAnsi" w:eastAsiaTheme="minorEastAsia" w:hAnsiTheme="minorHAnsi" w:cstheme="minorBidi"/>
          <w:b w:val="0"/>
          <w:sz w:val="24"/>
          <w:szCs w:val="24"/>
        </w:rPr>
      </w:pPr>
      <w:hyperlink w:anchor="_Toc485999053" w:history="1">
        <w:r w:rsidR="00480357" w:rsidRPr="00F62A52">
          <w:rPr>
            <w:rStyle w:val="Hyperlink"/>
          </w:rPr>
          <w:t>Overlay or Stand-Alone Zoning District</w:t>
        </w:r>
        <w:r w:rsidR="00480357">
          <w:rPr>
            <w:webHidden/>
          </w:rPr>
          <w:t xml:space="preserve"> </w:t>
        </w:r>
        <w:r w:rsidR="00480357">
          <w:rPr>
            <w:webHidden/>
          </w:rPr>
          <w:fldChar w:fldCharType="begin"/>
        </w:r>
        <w:r w:rsidR="00480357">
          <w:rPr>
            <w:webHidden/>
          </w:rPr>
          <w:instrText xml:space="preserve"> PAGEREF _Toc485999053 \h </w:instrText>
        </w:r>
        <w:r w:rsidR="00480357">
          <w:rPr>
            <w:webHidden/>
          </w:rPr>
        </w:r>
        <w:r w:rsidR="00480357">
          <w:rPr>
            <w:webHidden/>
          </w:rPr>
          <w:fldChar w:fldCharType="separate"/>
        </w:r>
        <w:r w:rsidR="00480357">
          <w:rPr>
            <w:webHidden/>
          </w:rPr>
          <w:t>1</w:t>
        </w:r>
        <w:r w:rsidR="00480357">
          <w:rPr>
            <w:webHidden/>
          </w:rPr>
          <w:fldChar w:fldCharType="end"/>
        </w:r>
      </w:hyperlink>
    </w:p>
    <w:p w14:paraId="5E4D09D2" w14:textId="77777777" w:rsidR="00480357" w:rsidRDefault="00090FB3">
      <w:pPr>
        <w:pStyle w:val="TOC1"/>
        <w:rPr>
          <w:rFonts w:asciiTheme="minorHAnsi" w:eastAsiaTheme="minorEastAsia" w:hAnsiTheme="minorHAnsi" w:cstheme="minorBidi"/>
          <w:b w:val="0"/>
          <w:sz w:val="24"/>
          <w:szCs w:val="24"/>
        </w:rPr>
      </w:pPr>
      <w:hyperlink w:anchor="_Toc485999054" w:history="1">
        <w:r w:rsidR="00480357" w:rsidRPr="00F62A52">
          <w:rPr>
            <w:rStyle w:val="Hyperlink"/>
          </w:rPr>
          <w:t>Transfer of Development Rights</w:t>
        </w:r>
        <w:r w:rsidR="00480357">
          <w:rPr>
            <w:webHidden/>
          </w:rPr>
          <w:t xml:space="preserve"> </w:t>
        </w:r>
        <w:r w:rsidR="00480357">
          <w:rPr>
            <w:webHidden/>
          </w:rPr>
          <w:fldChar w:fldCharType="begin"/>
        </w:r>
        <w:r w:rsidR="00480357">
          <w:rPr>
            <w:webHidden/>
          </w:rPr>
          <w:instrText xml:space="preserve"> PAGEREF _Toc485999054 \h </w:instrText>
        </w:r>
        <w:r w:rsidR="00480357">
          <w:rPr>
            <w:webHidden/>
          </w:rPr>
        </w:r>
        <w:r w:rsidR="00480357">
          <w:rPr>
            <w:webHidden/>
          </w:rPr>
          <w:fldChar w:fldCharType="separate"/>
        </w:r>
        <w:r w:rsidR="00480357">
          <w:rPr>
            <w:webHidden/>
          </w:rPr>
          <w:t>1</w:t>
        </w:r>
        <w:r w:rsidR="00480357">
          <w:rPr>
            <w:webHidden/>
          </w:rPr>
          <w:fldChar w:fldCharType="end"/>
        </w:r>
      </w:hyperlink>
    </w:p>
    <w:p w14:paraId="4C7EA297" w14:textId="77777777" w:rsidR="00480357" w:rsidRDefault="00090FB3">
      <w:pPr>
        <w:pStyle w:val="TOC1"/>
        <w:rPr>
          <w:rFonts w:asciiTheme="minorHAnsi" w:eastAsiaTheme="minorEastAsia" w:hAnsiTheme="minorHAnsi" w:cstheme="minorBidi"/>
          <w:b w:val="0"/>
          <w:sz w:val="24"/>
          <w:szCs w:val="24"/>
        </w:rPr>
      </w:pPr>
      <w:hyperlink w:anchor="_Toc485999055" w:history="1">
        <w:r w:rsidR="00480357" w:rsidRPr="00F62A52">
          <w:rPr>
            <w:rStyle w:val="Hyperlink"/>
          </w:rPr>
          <w:t>LEED Certification Category</w:t>
        </w:r>
        <w:r w:rsidR="00480357">
          <w:rPr>
            <w:webHidden/>
          </w:rPr>
          <w:t xml:space="preserve"> </w:t>
        </w:r>
        <w:r w:rsidR="00480357">
          <w:rPr>
            <w:webHidden/>
          </w:rPr>
          <w:fldChar w:fldCharType="begin"/>
        </w:r>
        <w:r w:rsidR="00480357">
          <w:rPr>
            <w:webHidden/>
          </w:rPr>
          <w:instrText xml:space="preserve"> PAGEREF _Toc485999055 \h </w:instrText>
        </w:r>
        <w:r w:rsidR="00480357">
          <w:rPr>
            <w:webHidden/>
          </w:rPr>
        </w:r>
        <w:r w:rsidR="00480357">
          <w:rPr>
            <w:webHidden/>
          </w:rPr>
          <w:fldChar w:fldCharType="separate"/>
        </w:r>
        <w:r w:rsidR="00480357">
          <w:rPr>
            <w:webHidden/>
          </w:rPr>
          <w:t>2</w:t>
        </w:r>
        <w:r w:rsidR="00480357">
          <w:rPr>
            <w:webHidden/>
          </w:rPr>
          <w:fldChar w:fldCharType="end"/>
        </w:r>
      </w:hyperlink>
    </w:p>
    <w:p w14:paraId="31306AE0" w14:textId="77777777" w:rsidR="00480357" w:rsidRDefault="00090FB3">
      <w:pPr>
        <w:pStyle w:val="TOC1"/>
        <w:rPr>
          <w:rFonts w:asciiTheme="minorHAnsi" w:eastAsiaTheme="minorEastAsia" w:hAnsiTheme="minorHAnsi" w:cstheme="minorBidi"/>
          <w:b w:val="0"/>
          <w:sz w:val="24"/>
          <w:szCs w:val="24"/>
        </w:rPr>
      </w:pPr>
      <w:hyperlink w:anchor="_Toc485999056" w:history="1">
        <w:r w:rsidR="00480357" w:rsidRPr="00F62A52">
          <w:rPr>
            <w:rStyle w:val="Hyperlink"/>
          </w:rPr>
          <w:t>Challenges</w:t>
        </w:r>
        <w:r w:rsidR="00480357">
          <w:rPr>
            <w:webHidden/>
          </w:rPr>
          <w:t xml:space="preserve"> </w:t>
        </w:r>
        <w:r w:rsidR="00480357">
          <w:rPr>
            <w:webHidden/>
          </w:rPr>
          <w:fldChar w:fldCharType="begin"/>
        </w:r>
        <w:r w:rsidR="00480357">
          <w:rPr>
            <w:webHidden/>
          </w:rPr>
          <w:instrText xml:space="preserve"> PAGEREF _Toc485999056 \h </w:instrText>
        </w:r>
        <w:r w:rsidR="00480357">
          <w:rPr>
            <w:webHidden/>
          </w:rPr>
        </w:r>
        <w:r w:rsidR="00480357">
          <w:rPr>
            <w:webHidden/>
          </w:rPr>
          <w:fldChar w:fldCharType="separate"/>
        </w:r>
        <w:r w:rsidR="00480357">
          <w:rPr>
            <w:webHidden/>
          </w:rPr>
          <w:t>2</w:t>
        </w:r>
        <w:r w:rsidR="00480357">
          <w:rPr>
            <w:webHidden/>
          </w:rPr>
          <w:fldChar w:fldCharType="end"/>
        </w:r>
      </w:hyperlink>
    </w:p>
    <w:p w14:paraId="2980DC0F" w14:textId="77777777" w:rsidR="00480357" w:rsidRDefault="00090FB3">
      <w:pPr>
        <w:pStyle w:val="TOC1"/>
        <w:rPr>
          <w:rFonts w:asciiTheme="minorHAnsi" w:eastAsiaTheme="minorEastAsia" w:hAnsiTheme="minorHAnsi" w:cstheme="minorBidi"/>
          <w:b w:val="0"/>
          <w:sz w:val="24"/>
          <w:szCs w:val="24"/>
        </w:rPr>
      </w:pPr>
      <w:hyperlink w:anchor="_Toc485999057" w:history="1">
        <w:r w:rsidR="00480357" w:rsidRPr="00F62A52">
          <w:rPr>
            <w:rStyle w:val="Hyperlink"/>
          </w:rPr>
          <w:t>Development Patterns and Critical Mass</w:t>
        </w:r>
        <w:r w:rsidR="00480357">
          <w:rPr>
            <w:webHidden/>
          </w:rPr>
          <w:t xml:space="preserve"> </w:t>
        </w:r>
        <w:r w:rsidR="00480357">
          <w:rPr>
            <w:webHidden/>
          </w:rPr>
          <w:fldChar w:fldCharType="begin"/>
        </w:r>
        <w:r w:rsidR="00480357">
          <w:rPr>
            <w:webHidden/>
          </w:rPr>
          <w:instrText xml:space="preserve"> PAGEREF _Toc485999057 \h </w:instrText>
        </w:r>
        <w:r w:rsidR="00480357">
          <w:rPr>
            <w:webHidden/>
          </w:rPr>
        </w:r>
        <w:r w:rsidR="00480357">
          <w:rPr>
            <w:webHidden/>
          </w:rPr>
          <w:fldChar w:fldCharType="separate"/>
        </w:r>
        <w:r w:rsidR="00480357">
          <w:rPr>
            <w:webHidden/>
          </w:rPr>
          <w:t>2</w:t>
        </w:r>
        <w:r w:rsidR="00480357">
          <w:rPr>
            <w:webHidden/>
          </w:rPr>
          <w:fldChar w:fldCharType="end"/>
        </w:r>
      </w:hyperlink>
    </w:p>
    <w:p w14:paraId="4F86E644" w14:textId="77777777" w:rsidR="00480357" w:rsidRDefault="00090FB3">
      <w:pPr>
        <w:pStyle w:val="TOC1"/>
        <w:rPr>
          <w:rFonts w:asciiTheme="minorHAnsi" w:eastAsiaTheme="minorEastAsia" w:hAnsiTheme="minorHAnsi" w:cstheme="minorBidi"/>
          <w:b w:val="0"/>
          <w:sz w:val="24"/>
          <w:szCs w:val="24"/>
        </w:rPr>
      </w:pPr>
      <w:hyperlink w:anchor="_Toc485999058" w:history="1">
        <w:r w:rsidR="00480357" w:rsidRPr="00F62A52">
          <w:rPr>
            <w:rStyle w:val="Hyperlink"/>
          </w:rPr>
          <w:t>TND Ordinance Goals</w:t>
        </w:r>
        <w:r w:rsidR="00480357">
          <w:rPr>
            <w:webHidden/>
          </w:rPr>
          <w:t xml:space="preserve"> </w:t>
        </w:r>
        <w:r w:rsidR="00480357">
          <w:rPr>
            <w:webHidden/>
          </w:rPr>
          <w:fldChar w:fldCharType="begin"/>
        </w:r>
        <w:r w:rsidR="00480357">
          <w:rPr>
            <w:webHidden/>
          </w:rPr>
          <w:instrText xml:space="preserve"> PAGEREF _Toc485999058 \h </w:instrText>
        </w:r>
        <w:r w:rsidR="00480357">
          <w:rPr>
            <w:webHidden/>
          </w:rPr>
        </w:r>
        <w:r w:rsidR="00480357">
          <w:rPr>
            <w:webHidden/>
          </w:rPr>
          <w:fldChar w:fldCharType="separate"/>
        </w:r>
        <w:r w:rsidR="00480357">
          <w:rPr>
            <w:webHidden/>
          </w:rPr>
          <w:t>3</w:t>
        </w:r>
        <w:r w:rsidR="00480357">
          <w:rPr>
            <w:webHidden/>
          </w:rPr>
          <w:fldChar w:fldCharType="end"/>
        </w:r>
      </w:hyperlink>
    </w:p>
    <w:p w14:paraId="053CAF19" w14:textId="77777777" w:rsidR="00480357" w:rsidRDefault="00090FB3">
      <w:pPr>
        <w:pStyle w:val="TOC1"/>
        <w:rPr>
          <w:rFonts w:asciiTheme="minorHAnsi" w:eastAsiaTheme="minorEastAsia" w:hAnsiTheme="minorHAnsi" w:cstheme="minorBidi"/>
          <w:b w:val="0"/>
          <w:sz w:val="24"/>
          <w:szCs w:val="24"/>
        </w:rPr>
      </w:pPr>
      <w:hyperlink w:anchor="_Toc485999059" w:history="1">
        <w:r w:rsidR="00480357" w:rsidRPr="00F62A52">
          <w:rPr>
            <w:rStyle w:val="Hyperlink"/>
          </w:rPr>
          <w:t>Steps to Enact a TND Ordinance</w:t>
        </w:r>
        <w:r w:rsidR="00480357">
          <w:rPr>
            <w:webHidden/>
          </w:rPr>
          <w:t xml:space="preserve"> </w:t>
        </w:r>
        <w:r w:rsidR="00480357">
          <w:rPr>
            <w:webHidden/>
          </w:rPr>
          <w:fldChar w:fldCharType="begin"/>
        </w:r>
        <w:r w:rsidR="00480357">
          <w:rPr>
            <w:webHidden/>
          </w:rPr>
          <w:instrText xml:space="preserve"> PAGEREF _Toc485999059 \h </w:instrText>
        </w:r>
        <w:r w:rsidR="00480357">
          <w:rPr>
            <w:webHidden/>
          </w:rPr>
        </w:r>
        <w:r w:rsidR="00480357">
          <w:rPr>
            <w:webHidden/>
          </w:rPr>
          <w:fldChar w:fldCharType="separate"/>
        </w:r>
        <w:r w:rsidR="00480357">
          <w:rPr>
            <w:webHidden/>
          </w:rPr>
          <w:t>4</w:t>
        </w:r>
        <w:r w:rsidR="00480357">
          <w:rPr>
            <w:webHidden/>
          </w:rPr>
          <w:fldChar w:fldCharType="end"/>
        </w:r>
      </w:hyperlink>
    </w:p>
    <w:p w14:paraId="0416173F" w14:textId="77777777" w:rsidR="00480357" w:rsidRDefault="00090FB3">
      <w:pPr>
        <w:pStyle w:val="TOC1"/>
        <w:rPr>
          <w:rFonts w:asciiTheme="minorHAnsi" w:eastAsiaTheme="minorEastAsia" w:hAnsiTheme="minorHAnsi" w:cstheme="minorBidi"/>
          <w:b w:val="0"/>
          <w:sz w:val="24"/>
          <w:szCs w:val="24"/>
        </w:rPr>
      </w:pPr>
      <w:hyperlink w:anchor="_Toc485999060" w:history="1">
        <w:r w:rsidR="00480357" w:rsidRPr="00F62A52">
          <w:rPr>
            <w:rStyle w:val="Hyperlink"/>
          </w:rPr>
          <w:t>Examples of TND</w:t>
        </w:r>
        <w:r w:rsidR="00480357">
          <w:rPr>
            <w:webHidden/>
          </w:rPr>
          <w:t xml:space="preserve"> </w:t>
        </w:r>
        <w:r w:rsidR="00480357">
          <w:rPr>
            <w:webHidden/>
          </w:rPr>
          <w:fldChar w:fldCharType="begin"/>
        </w:r>
        <w:r w:rsidR="00480357">
          <w:rPr>
            <w:webHidden/>
          </w:rPr>
          <w:instrText xml:space="preserve"> PAGEREF _Toc485999060 \h </w:instrText>
        </w:r>
        <w:r w:rsidR="00480357">
          <w:rPr>
            <w:webHidden/>
          </w:rPr>
        </w:r>
        <w:r w:rsidR="00480357">
          <w:rPr>
            <w:webHidden/>
          </w:rPr>
          <w:fldChar w:fldCharType="separate"/>
        </w:r>
        <w:r w:rsidR="00480357">
          <w:rPr>
            <w:webHidden/>
          </w:rPr>
          <w:t>4</w:t>
        </w:r>
        <w:r w:rsidR="00480357">
          <w:rPr>
            <w:webHidden/>
          </w:rPr>
          <w:fldChar w:fldCharType="end"/>
        </w:r>
      </w:hyperlink>
    </w:p>
    <w:p w14:paraId="5E867219" w14:textId="77777777" w:rsidR="00480357" w:rsidRDefault="00090FB3">
      <w:pPr>
        <w:pStyle w:val="TOC1"/>
        <w:rPr>
          <w:rFonts w:asciiTheme="minorHAnsi" w:eastAsiaTheme="minorEastAsia" w:hAnsiTheme="minorHAnsi" w:cstheme="minorBidi"/>
          <w:b w:val="0"/>
          <w:sz w:val="24"/>
          <w:szCs w:val="24"/>
        </w:rPr>
      </w:pPr>
      <w:hyperlink w:anchor="_Toc485999061" w:history="1">
        <w:r w:rsidR="00480357" w:rsidRPr="00F62A52">
          <w:rPr>
            <w:rStyle w:val="Hyperlink"/>
          </w:rPr>
          <w:t>Pennsylvania Law</w:t>
        </w:r>
        <w:r w:rsidR="00480357">
          <w:rPr>
            <w:webHidden/>
          </w:rPr>
          <w:t xml:space="preserve"> </w:t>
        </w:r>
        <w:r w:rsidR="00480357">
          <w:rPr>
            <w:webHidden/>
          </w:rPr>
          <w:fldChar w:fldCharType="begin"/>
        </w:r>
        <w:r w:rsidR="00480357">
          <w:rPr>
            <w:webHidden/>
          </w:rPr>
          <w:instrText xml:space="preserve"> PAGEREF _Toc485999061 \h </w:instrText>
        </w:r>
        <w:r w:rsidR="00480357">
          <w:rPr>
            <w:webHidden/>
          </w:rPr>
        </w:r>
        <w:r w:rsidR="00480357">
          <w:rPr>
            <w:webHidden/>
          </w:rPr>
          <w:fldChar w:fldCharType="separate"/>
        </w:r>
        <w:r w:rsidR="00480357">
          <w:rPr>
            <w:webHidden/>
          </w:rPr>
          <w:t>4</w:t>
        </w:r>
        <w:r w:rsidR="00480357">
          <w:rPr>
            <w:webHidden/>
          </w:rPr>
          <w:fldChar w:fldCharType="end"/>
        </w:r>
      </w:hyperlink>
    </w:p>
    <w:p w14:paraId="66D41B58" w14:textId="77777777" w:rsidR="00480357" w:rsidRDefault="00090FB3">
      <w:pPr>
        <w:pStyle w:val="TOC1"/>
        <w:rPr>
          <w:rFonts w:asciiTheme="minorHAnsi" w:eastAsiaTheme="minorEastAsia" w:hAnsiTheme="minorHAnsi" w:cstheme="minorBidi"/>
          <w:b w:val="0"/>
          <w:sz w:val="24"/>
          <w:szCs w:val="24"/>
        </w:rPr>
      </w:pPr>
      <w:hyperlink w:anchor="_Toc485999062" w:history="1">
        <w:r w:rsidR="00480357" w:rsidRPr="00F62A52">
          <w:rPr>
            <w:rStyle w:val="Hyperlink"/>
          </w:rPr>
          <w:t>Resources at ConservationTools.org</w:t>
        </w:r>
        <w:r w:rsidR="00480357">
          <w:rPr>
            <w:webHidden/>
          </w:rPr>
          <w:t xml:space="preserve"> </w:t>
        </w:r>
        <w:r w:rsidR="00480357">
          <w:rPr>
            <w:webHidden/>
          </w:rPr>
          <w:fldChar w:fldCharType="begin"/>
        </w:r>
        <w:r w:rsidR="00480357">
          <w:rPr>
            <w:webHidden/>
          </w:rPr>
          <w:instrText xml:space="preserve"> PAGEREF _Toc485999062 \h </w:instrText>
        </w:r>
        <w:r w:rsidR="00480357">
          <w:rPr>
            <w:webHidden/>
          </w:rPr>
        </w:r>
        <w:r w:rsidR="00480357">
          <w:rPr>
            <w:webHidden/>
          </w:rPr>
          <w:fldChar w:fldCharType="separate"/>
        </w:r>
        <w:r w:rsidR="00480357">
          <w:rPr>
            <w:webHidden/>
          </w:rPr>
          <w:t>5</w:t>
        </w:r>
        <w:r w:rsidR="00480357">
          <w:rPr>
            <w:webHidden/>
          </w:rPr>
          <w:fldChar w:fldCharType="end"/>
        </w:r>
      </w:hyperlink>
    </w:p>
    <w:p w14:paraId="17A2C1F5" w14:textId="64F25DE2" w:rsidR="00B741A8" w:rsidRPr="00271DB6" w:rsidRDefault="002546A1" w:rsidP="00B741A8">
      <w:pPr>
        <w:pStyle w:val="Heading1"/>
        <w:rPr>
          <w:u w:val="single"/>
        </w:rPr>
      </w:pPr>
      <w:r>
        <w:fldChar w:fldCharType="end"/>
      </w:r>
      <w:bookmarkStart w:id="2" w:name="_Toc485999052"/>
      <w:r w:rsidR="00B741A8">
        <w:t>Introduction</w:t>
      </w:r>
      <w:bookmarkEnd w:id="0"/>
      <w:bookmarkEnd w:id="2"/>
    </w:p>
    <w:p w14:paraId="59F7860E" w14:textId="7452ABA9" w:rsidR="00B741A8" w:rsidRDefault="00B741A8" w:rsidP="00B741A8">
      <w:pPr>
        <w:pStyle w:val="BodyText"/>
      </w:pPr>
      <w:r w:rsidRPr="0007296D">
        <w:t xml:space="preserve">Traditional Neighborhood Development (TND) </w:t>
      </w:r>
      <w:r>
        <w:t>is a development strategy designed to create complete neighborhoods and communities that mimic those built in pre-1950s America</w:t>
      </w:r>
      <w:r w:rsidR="000A31C2">
        <w:t xml:space="preserve"> </w:t>
      </w:r>
      <w:r>
        <w:t>before the shift to low-density, automobile-dependent suburban develo</w:t>
      </w:r>
      <w:r>
        <w:t>p</w:t>
      </w:r>
      <w:r>
        <w:t>ments. Several features characterize TNDs: concentrated density, mixed housing types, interco</w:t>
      </w:r>
      <w:r>
        <w:t>n</w:t>
      </w:r>
      <w:r>
        <w:t xml:space="preserve">nected street grids, a discernable center </w:t>
      </w:r>
      <w:r w:rsidR="0007257B">
        <w:t>(</w:t>
      </w:r>
      <w:r>
        <w:t>like a town square or plaza</w:t>
      </w:r>
      <w:r w:rsidR="0007257B">
        <w:t>)</w:t>
      </w:r>
      <w:r>
        <w:t>, and a variety of commercial esta</w:t>
      </w:r>
      <w:r>
        <w:t>b</w:t>
      </w:r>
      <w:r>
        <w:t>lishments to meet the needs of residents. With sidewalks, traffic calming measures, hidden parking, and access to public transportation, TNDs reduce d</w:t>
      </w:r>
      <w:r>
        <w:t>e</w:t>
      </w:r>
      <w:r>
        <w:t>pendence on cars and create safer streets for pedestrians and cyclists. TNDs also emphasize access to schools, parks, churches, civic buildings, and other communit</w:t>
      </w:r>
      <w:r w:rsidR="00003220">
        <w:t>y spaces.</w:t>
      </w:r>
    </w:p>
    <w:p w14:paraId="07DEADD1" w14:textId="3236647B" w:rsidR="00B741A8" w:rsidRDefault="00B741A8" w:rsidP="00B741A8">
      <w:pPr>
        <w:pStyle w:val="BodyText"/>
      </w:pPr>
      <w:r>
        <w:t xml:space="preserve">TNDs can involve </w:t>
      </w:r>
      <w:r w:rsidR="00932914">
        <w:t>development of a</w:t>
      </w:r>
      <w:r>
        <w:t xml:space="preserve"> previously und</w:t>
      </w:r>
      <w:r>
        <w:t>e</w:t>
      </w:r>
      <w:r>
        <w:t xml:space="preserve">veloped </w:t>
      </w:r>
      <w:r w:rsidR="00932914">
        <w:t xml:space="preserve">area </w:t>
      </w:r>
      <w:r>
        <w:t>(</w:t>
      </w:r>
      <w:r w:rsidRPr="00300AB2">
        <w:rPr>
          <w:i/>
        </w:rPr>
        <w:t>greenfield</w:t>
      </w:r>
      <w:r w:rsidR="00322C4D">
        <w:rPr>
          <w:i/>
        </w:rPr>
        <w:t xml:space="preserve"> development</w:t>
      </w:r>
      <w:r>
        <w:t xml:space="preserve">) or construction on vacant or underdeveloped </w:t>
      </w:r>
      <w:r w:rsidR="00932914">
        <w:t>parcels</w:t>
      </w:r>
      <w:r>
        <w:t xml:space="preserve"> within a</w:t>
      </w:r>
      <w:r w:rsidR="00932914">
        <w:t>n already developed</w:t>
      </w:r>
      <w:r>
        <w:t xml:space="preserve"> community (</w:t>
      </w:r>
      <w:r w:rsidRPr="00300AB2">
        <w:rPr>
          <w:i/>
        </w:rPr>
        <w:t>infill</w:t>
      </w:r>
      <w:r w:rsidR="00932914">
        <w:rPr>
          <w:i/>
        </w:rPr>
        <w:t xml:space="preserve"> development</w:t>
      </w:r>
      <w:r>
        <w:t>). Adaptive reuse of existing buildings is common</w:t>
      </w:r>
      <w:r w:rsidR="00BA26AD">
        <w:t xml:space="preserve"> in the latter case</w:t>
      </w:r>
      <w:r>
        <w:t xml:space="preserve">. Unlike </w:t>
      </w:r>
      <w:hyperlink r:id="rId9" w:history="1">
        <w:r w:rsidRPr="0026612B">
          <w:rPr>
            <w:rStyle w:val="Hyperlink"/>
          </w:rPr>
          <w:t>New Ur</w:t>
        </w:r>
        <w:bookmarkStart w:id="3" w:name="_GoBack"/>
        <w:bookmarkEnd w:id="3"/>
        <w:r w:rsidRPr="0026612B">
          <w:rPr>
            <w:rStyle w:val="Hyperlink"/>
          </w:rPr>
          <w:t>b</w:t>
        </w:r>
        <w:r w:rsidRPr="0026612B">
          <w:rPr>
            <w:rStyle w:val="Hyperlink"/>
          </w:rPr>
          <w:t>anism</w:t>
        </w:r>
      </w:hyperlink>
      <w:r>
        <w:t>, the broader movement that includes all scales of planning and development, TND is limited to the neighborhood or town scale.</w:t>
      </w:r>
    </w:p>
    <w:p w14:paraId="04BEDF88" w14:textId="0D184EF6" w:rsidR="00B741A8" w:rsidRDefault="00B741A8" w:rsidP="00B741A8">
      <w:pPr>
        <w:pStyle w:val="BodyText"/>
      </w:pPr>
      <w:r>
        <w:lastRenderedPageBreak/>
        <w:t>Though often developer-driven, TNDs are regulated by</w:t>
      </w:r>
      <w:r w:rsidRPr="00CE7B68">
        <w:t xml:space="preserve"> </w:t>
      </w:r>
      <w:r>
        <w:t>the zoning, subdivision, and land development o</w:t>
      </w:r>
      <w:r>
        <w:t>r</w:t>
      </w:r>
      <w:r>
        <w:t>dinances of local governments. In conjunction with</w:t>
      </w:r>
      <w:r w:rsidRPr="00CE7B68">
        <w:t xml:space="preserve"> sound comprehensive planning an</w:t>
      </w:r>
      <w:r>
        <w:t>d zoning, a TND can</w:t>
      </w:r>
      <w:r w:rsidRPr="00CE7B68">
        <w:t xml:space="preserve"> accommodate development in planned growth areas, relieving farmland</w:t>
      </w:r>
      <w:r w:rsidR="001D37A2">
        <w:t xml:space="preserve"> and other open </w:t>
      </w:r>
      <w:r w:rsidR="0026612B">
        <w:t xml:space="preserve">space </w:t>
      </w:r>
      <w:r w:rsidR="001D37A2">
        <w:t>from</w:t>
      </w:r>
      <w:r>
        <w:t xml:space="preserve"> development pressure (especially compared to sprawling single-unit, low-density developments which use space far less efficiently). Municipalities can also craft specific TND ordinance provisions to ensure that developments meet other conservation-related objectives like ensuring proper stormwater </w:t>
      </w:r>
      <w:r w:rsidR="00AF5725">
        <w:t>manag</w:t>
      </w:r>
      <w:r w:rsidR="00AF5725">
        <w:t>e</w:t>
      </w:r>
      <w:r w:rsidR="00AF5725">
        <w:t>ment</w:t>
      </w:r>
      <w:r>
        <w:t>, protecting natural features, and providing opport</w:t>
      </w:r>
      <w:r w:rsidR="001B61A0">
        <w:t>unities for outdoor recreation.</w:t>
      </w:r>
    </w:p>
    <w:p w14:paraId="6FE672D1" w14:textId="286209AF" w:rsidR="00771B28" w:rsidRDefault="00B741A8" w:rsidP="00B741A8">
      <w:pPr>
        <w:pStyle w:val="BodyText"/>
      </w:pPr>
      <w:r w:rsidRPr="00743A06">
        <w:t>Z</w:t>
      </w:r>
      <w:r>
        <w:t>oning ordinance provisions have helped foster</w:t>
      </w:r>
      <w:r w:rsidRPr="00743A06">
        <w:t xml:space="preserve"> su</w:t>
      </w:r>
      <w:r w:rsidRPr="00743A06">
        <w:t>c</w:t>
      </w:r>
      <w:r w:rsidRPr="00743A06">
        <w:t xml:space="preserve">cessful TNDs in many locations across </w:t>
      </w:r>
      <w:r>
        <w:t>Pennsylvania</w:t>
      </w:r>
      <w:r w:rsidR="00771B28">
        <w:t xml:space="preserve"> and the </w:t>
      </w:r>
      <w:r w:rsidR="003A5502">
        <w:t>United States</w:t>
      </w:r>
      <w:r w:rsidR="00771B28">
        <w:t>. See the “Examples” section b</w:t>
      </w:r>
      <w:r w:rsidR="00771B28">
        <w:t>e</w:t>
      </w:r>
      <w:r w:rsidR="00771B28">
        <w:t>low for a list of notable TNDs.</w:t>
      </w:r>
    </w:p>
    <w:p w14:paraId="2DFC022C" w14:textId="77777777" w:rsidR="00B741A8" w:rsidRDefault="00B741A8" w:rsidP="00B741A8">
      <w:pPr>
        <w:pStyle w:val="Heading1"/>
      </w:pPr>
      <w:bookmarkStart w:id="4" w:name="_Toc481494344"/>
      <w:bookmarkStart w:id="5" w:name="_Toc485999053"/>
      <w:r>
        <w:t>Overlay or Stand-Alone Zoning District</w:t>
      </w:r>
      <w:bookmarkEnd w:id="4"/>
      <w:bookmarkEnd w:id="5"/>
    </w:p>
    <w:p w14:paraId="29F049A0" w14:textId="77777777" w:rsidR="00003220" w:rsidRDefault="00221D26" w:rsidP="00AF4B65">
      <w:pPr>
        <w:pStyle w:val="BodyText"/>
      </w:pPr>
      <w:r>
        <w:t xml:space="preserve">A municipal zoning ordinance can incorporate </w:t>
      </w:r>
      <w:r w:rsidR="00B741A8">
        <w:t xml:space="preserve">TND as an overlay district, offering landowners who own tracts so zoned </w:t>
      </w:r>
      <w:r w:rsidR="00B741A8" w:rsidRPr="0026612B">
        <w:rPr>
          <w:i/>
        </w:rPr>
        <w:t>the option</w:t>
      </w:r>
      <w:r w:rsidR="00B741A8" w:rsidRPr="00300AB2">
        <w:t xml:space="preserve"> </w:t>
      </w:r>
      <w:r w:rsidR="00B741A8">
        <w:t>of establishing land uses su</w:t>
      </w:r>
      <w:r w:rsidR="00B741A8">
        <w:t>b</w:t>
      </w:r>
      <w:r w:rsidR="00B741A8">
        <w:t xml:space="preserve">ject to the TND overlay provisions. Alternatively, </w:t>
      </w:r>
      <w:r>
        <w:t>municipalities can establish TND</w:t>
      </w:r>
      <w:r w:rsidR="00B741A8">
        <w:t xml:space="preserve"> as a stand-alone zoning district, in which all permitted uses are subject to the TND provisions.</w:t>
      </w:r>
      <w:r w:rsidR="00537C98">
        <w:t xml:space="preserve"> See “Enacting a TND Zoning Ordinance” for more information.</w:t>
      </w:r>
    </w:p>
    <w:p w14:paraId="36F1CA3E" w14:textId="77777777" w:rsidR="00003220" w:rsidRDefault="00003220" w:rsidP="00003220">
      <w:pPr>
        <w:pStyle w:val="Heading1"/>
      </w:pPr>
      <w:bookmarkStart w:id="6" w:name="_Toc485999054"/>
      <w:r>
        <w:t>Transfer of Development Rights</w:t>
      </w:r>
      <w:bookmarkEnd w:id="6"/>
    </w:p>
    <w:p w14:paraId="0A45B100" w14:textId="6D01BABD" w:rsidR="00B741A8" w:rsidRDefault="00B741A8" w:rsidP="00AF4B65">
      <w:pPr>
        <w:pStyle w:val="BodyText"/>
      </w:pPr>
      <w:r>
        <w:t>Adding the incentive</w:t>
      </w:r>
      <w:r w:rsidR="00003220">
        <w:t xml:space="preserve"> </w:t>
      </w:r>
      <w:r>
        <w:t xml:space="preserve">of </w:t>
      </w:r>
      <w:hyperlink r:id="rId10" w:history="1">
        <w:r w:rsidRPr="00A723B0">
          <w:rPr>
            <w:rStyle w:val="Hyperlink"/>
          </w:rPr>
          <w:t>Transferable Development Rights</w:t>
        </w:r>
      </w:hyperlink>
      <w:r w:rsidR="001B61A0">
        <w:rPr>
          <w:rStyle w:val="EndnoteReference"/>
          <w:color w:val="0000FF"/>
          <w:u w:val="single"/>
        </w:rPr>
        <w:endnoteReference w:id="1"/>
      </w:r>
      <w:r>
        <w:t xml:space="preserve"> (TDRs) to TND ordinance provisions can e</w:t>
      </w:r>
      <w:r>
        <w:t>n</w:t>
      </w:r>
      <w:r>
        <w:t>hance the co</w:t>
      </w:r>
      <w:r w:rsidR="00003220">
        <w:t xml:space="preserve">nservation benefits of a TND by </w:t>
      </w:r>
      <w:r>
        <w:t xml:space="preserve">encouraging the developer to purchase TDRs from priority conservation areas and use them to enhance the development potential of a planned TND project. </w:t>
      </w:r>
      <w:r>
        <w:lastRenderedPageBreak/>
        <w:t>For example, municipalities can construct TND ord</w:t>
      </w:r>
      <w:r>
        <w:t>i</w:t>
      </w:r>
      <w:r>
        <w:t>nance provisions so developers are required to use TDRs to build at the upper ranges of allowed reside</w:t>
      </w:r>
      <w:r>
        <w:t>n</w:t>
      </w:r>
      <w:r>
        <w:t>tial density or commercial square footage. The TND ordinance provisions addressing development design can help ensure that development in the TDR recei</w:t>
      </w:r>
      <w:r>
        <w:t>v</w:t>
      </w:r>
      <w:r>
        <w:t>ing area is consistent with the community development objectives.</w:t>
      </w:r>
    </w:p>
    <w:p w14:paraId="6531944D" w14:textId="0E25FA9E" w:rsidR="00B741A8" w:rsidRDefault="00B741A8" w:rsidP="00B741A8">
      <w:pPr>
        <w:pStyle w:val="Heading1"/>
        <w:rPr>
          <w:rStyle w:val="body"/>
        </w:rPr>
      </w:pPr>
      <w:bookmarkStart w:id="7" w:name="_Toc481494346"/>
      <w:bookmarkStart w:id="8" w:name="_Toc485999055"/>
      <w:r>
        <w:rPr>
          <w:rStyle w:val="body"/>
        </w:rPr>
        <w:t>LEED Certification Category</w:t>
      </w:r>
      <w:bookmarkEnd w:id="7"/>
      <w:bookmarkEnd w:id="8"/>
    </w:p>
    <w:p w14:paraId="53471C9C" w14:textId="1BDAF9CD" w:rsidR="00DE0CDB" w:rsidRDefault="00B741A8" w:rsidP="002546A1">
      <w:pPr>
        <w:pStyle w:val="BodyText"/>
        <w:rPr>
          <w:rStyle w:val="body"/>
        </w:rPr>
      </w:pPr>
      <w:r>
        <w:t xml:space="preserve">In 2009, the U.S. Green Building Council </w:t>
      </w:r>
      <w:r>
        <w:rPr>
          <w:rStyle w:val="body"/>
        </w:rPr>
        <w:t>added the Neighborhood Development category to its LEED (Leadership in Energy and Environmental Design) certification program. The most widely used third-party verification for environmentally friendly buil</w:t>
      </w:r>
      <w:r>
        <w:rPr>
          <w:rStyle w:val="body"/>
        </w:rPr>
        <w:t>d</w:t>
      </w:r>
      <w:r>
        <w:rPr>
          <w:rStyle w:val="body"/>
        </w:rPr>
        <w:t>ings, LEED rates projects based on a set of criteria including energy efficiency, water use, emissions, and building materials.</w:t>
      </w:r>
    </w:p>
    <w:p w14:paraId="0D6C56E8" w14:textId="6B2733A5" w:rsidR="00B741A8" w:rsidRDefault="00B741A8" w:rsidP="002546A1">
      <w:pPr>
        <w:pStyle w:val="BodyText"/>
        <w:rPr>
          <w:rStyle w:val="body"/>
        </w:rPr>
      </w:pPr>
      <w:r>
        <w:rPr>
          <w:rStyle w:val="body"/>
        </w:rPr>
        <w:t xml:space="preserve">The Neighborhood Development category covers new or redevelopment </w:t>
      </w:r>
      <w:r w:rsidRPr="002546A1">
        <w:rPr>
          <w:rStyle w:val="body"/>
        </w:rPr>
        <w:t>projects</w:t>
      </w:r>
      <w:r>
        <w:rPr>
          <w:rStyle w:val="body"/>
        </w:rPr>
        <w:t xml:space="preserve"> containing residential, non-residential, or mixed uses. TNDs,</w:t>
      </w:r>
      <w:r w:rsidR="00134200">
        <w:rPr>
          <w:rStyle w:val="body"/>
        </w:rPr>
        <w:t xml:space="preserve"> with their focus on efficient land use</w:t>
      </w:r>
      <w:r>
        <w:rPr>
          <w:rStyle w:val="body"/>
        </w:rPr>
        <w:t xml:space="preserve"> and non-motorized transportation, are </w:t>
      </w:r>
      <w:r w:rsidR="00AF4B65">
        <w:rPr>
          <w:rStyle w:val="body"/>
        </w:rPr>
        <w:t>well-positioned</w:t>
      </w:r>
      <w:r>
        <w:rPr>
          <w:rStyle w:val="body"/>
        </w:rPr>
        <w:t xml:space="preserve"> to meet the LEED standards for this category. LEED-certified status can supplement marketing efforts, helping promote a TND to potential residents, business owners, and customers. The certif</w:t>
      </w:r>
      <w:r>
        <w:rPr>
          <w:rStyle w:val="body"/>
        </w:rPr>
        <w:t>i</w:t>
      </w:r>
      <w:r>
        <w:rPr>
          <w:rStyle w:val="body"/>
        </w:rPr>
        <w:t>cation criteria can also offer guidance for developers, planners, and municipal officials seeking to plan an environmentally friendly development.</w:t>
      </w:r>
    </w:p>
    <w:p w14:paraId="104ECC8A" w14:textId="6870C8D0" w:rsidR="00B741A8" w:rsidRDefault="003A5502" w:rsidP="00B741A8">
      <w:pPr>
        <w:rPr>
          <w:rStyle w:val="body"/>
        </w:rPr>
      </w:pPr>
      <w:r>
        <w:rPr>
          <w:rStyle w:val="body"/>
        </w:rPr>
        <w:t xml:space="preserve">As of 2017, </w:t>
      </w:r>
      <w:r w:rsidR="00DE0CDB">
        <w:rPr>
          <w:rStyle w:val="body"/>
        </w:rPr>
        <w:t xml:space="preserve">nearly </w:t>
      </w:r>
      <w:r w:rsidR="00507D9E">
        <w:rPr>
          <w:rStyle w:val="body"/>
        </w:rPr>
        <w:t>500</w:t>
      </w:r>
      <w:r w:rsidR="00DE0CDB">
        <w:rPr>
          <w:rStyle w:val="body"/>
        </w:rPr>
        <w:t xml:space="preserve"> projects around the world</w:t>
      </w:r>
      <w:r w:rsidR="00994996">
        <w:rPr>
          <w:rStyle w:val="body"/>
        </w:rPr>
        <w:t>, i</w:t>
      </w:r>
      <w:r w:rsidR="00994996">
        <w:rPr>
          <w:rStyle w:val="body"/>
        </w:rPr>
        <w:t>n</w:t>
      </w:r>
      <w:r w:rsidR="00994996">
        <w:rPr>
          <w:rStyle w:val="body"/>
        </w:rPr>
        <w:t>cluding five in Pennsylvania,</w:t>
      </w:r>
      <w:r w:rsidR="00DE0CDB">
        <w:rPr>
          <w:rStyle w:val="body"/>
        </w:rPr>
        <w:t xml:space="preserve"> have received or are awaiting Neighborhood Development certification.</w:t>
      </w:r>
      <w:r>
        <w:rPr>
          <w:rStyle w:val="body"/>
        </w:rPr>
        <w:t xml:space="preserve"> </w:t>
      </w:r>
      <w:r w:rsidR="00B741A8">
        <w:rPr>
          <w:rStyle w:val="body"/>
        </w:rPr>
        <w:t xml:space="preserve">See the Council’s </w:t>
      </w:r>
      <w:hyperlink r:id="rId11" w:history="1">
        <w:r w:rsidR="00B741A8" w:rsidRPr="00D20FCF">
          <w:rPr>
            <w:rStyle w:val="Hyperlink"/>
            <w:rFonts w:eastAsia="Calibri"/>
          </w:rPr>
          <w:t>Neighborhood Development Guide</w:t>
        </w:r>
      </w:hyperlink>
      <w:r w:rsidR="00B741A8">
        <w:rPr>
          <w:rStyle w:val="body"/>
        </w:rPr>
        <w:t xml:space="preserve"> for more information.</w:t>
      </w:r>
    </w:p>
    <w:p w14:paraId="773B9607" w14:textId="78B2966B" w:rsidR="00B741A8" w:rsidRDefault="00B741A8" w:rsidP="00B67A4A">
      <w:pPr>
        <w:pStyle w:val="Heading1"/>
      </w:pPr>
      <w:bookmarkStart w:id="9" w:name="_Toc481494348"/>
      <w:bookmarkStart w:id="10" w:name="_Toc485999056"/>
      <w:r>
        <w:t>Challenges</w:t>
      </w:r>
      <w:bookmarkEnd w:id="9"/>
      <w:bookmarkEnd w:id="10"/>
    </w:p>
    <w:p w14:paraId="538462B6" w14:textId="76D3D4A7" w:rsidR="005F7819" w:rsidRPr="00C4778F" w:rsidRDefault="005F7819" w:rsidP="0001695A">
      <w:pPr>
        <w:pStyle w:val="Heading3"/>
      </w:pPr>
      <w:r>
        <w:t>Opposition to TND</w:t>
      </w:r>
    </w:p>
    <w:p w14:paraId="0900253E" w14:textId="1A065F73" w:rsidR="00B741A8" w:rsidRDefault="00B741A8" w:rsidP="00AF4B65">
      <w:pPr>
        <w:pStyle w:val="BodyText"/>
      </w:pPr>
      <w:r w:rsidRPr="008B7435">
        <w:t xml:space="preserve">Incorporating TND </w:t>
      </w:r>
      <w:r>
        <w:t xml:space="preserve">provisions </w:t>
      </w:r>
      <w:r w:rsidRPr="008B7435">
        <w:t>into a municipality’s zoning ordinance requires political and community support. The most frequent obstacle in this process is opposition from residents or local leaders who are u</w:t>
      </w:r>
      <w:r w:rsidRPr="008B7435">
        <w:t>n</w:t>
      </w:r>
      <w:r w:rsidRPr="008B7435">
        <w:t xml:space="preserve">comfortable with the relatively dense development of TNDs. </w:t>
      </w:r>
      <w:r>
        <w:t xml:space="preserve">Careful planning, combined with extensive </w:t>
      </w:r>
      <w:r w:rsidRPr="008B7435">
        <w:lastRenderedPageBreak/>
        <w:t>community outreach and education efforts</w:t>
      </w:r>
      <w:r>
        <w:t xml:space="preserve">, </w:t>
      </w:r>
      <w:r w:rsidRPr="008B7435">
        <w:t xml:space="preserve">may be able to prevent, mitigate, or overcome this opposition. Public and political support </w:t>
      </w:r>
      <w:r>
        <w:t xml:space="preserve">for TND </w:t>
      </w:r>
      <w:r w:rsidRPr="008B7435">
        <w:t>is also crucial to forming working relationships with developers co</w:t>
      </w:r>
      <w:r w:rsidRPr="008B7435">
        <w:t>m</w:t>
      </w:r>
      <w:r w:rsidRPr="008B7435">
        <w:t>mitte</w:t>
      </w:r>
      <w:r>
        <w:t>d to the TND model, who are less likely</w:t>
      </w:r>
      <w:r w:rsidRPr="008B7435">
        <w:t xml:space="preserve"> to </w:t>
      </w:r>
      <w:r>
        <w:t>pursue</w:t>
      </w:r>
      <w:r w:rsidRPr="008B7435">
        <w:t xml:space="preserve"> a project in an area whe</w:t>
      </w:r>
      <w:r w:rsidR="001B61A0">
        <w:t>re TND faces fierce opposition.</w:t>
      </w:r>
    </w:p>
    <w:p w14:paraId="5EC37DC8" w14:textId="76234A49" w:rsidR="005F7819" w:rsidRDefault="005F7819" w:rsidP="0001695A">
      <w:pPr>
        <w:pStyle w:val="Heading3"/>
      </w:pPr>
      <w:r>
        <w:t>Poorly Crafted Provisions</w:t>
      </w:r>
    </w:p>
    <w:p w14:paraId="7E5FB6D5" w14:textId="5AEAFE87" w:rsidR="00B741A8" w:rsidRDefault="00B741A8" w:rsidP="00AF4B65">
      <w:pPr>
        <w:pStyle w:val="BodyText"/>
      </w:pPr>
      <w:r w:rsidRPr="008B7435">
        <w:t xml:space="preserve">Poorly crafted TND ordinance provisions can lead to developments that are inconsistent with </w:t>
      </w:r>
      <w:r>
        <w:t>the commun</w:t>
      </w:r>
      <w:r>
        <w:t>i</w:t>
      </w:r>
      <w:r>
        <w:t>ty’s</w:t>
      </w:r>
      <w:r w:rsidRPr="008B7435">
        <w:t xml:space="preserve"> vision and goals or</w:t>
      </w:r>
      <w:r>
        <w:t xml:space="preserve"> allow</w:t>
      </w:r>
      <w:r w:rsidRPr="008B7435">
        <w:t xml:space="preserve"> developments that are incompati</w:t>
      </w:r>
      <w:r>
        <w:t>ble with surrounding land uses. Municipal</w:t>
      </w:r>
      <w:r>
        <w:t>i</w:t>
      </w:r>
      <w:r>
        <w:t>ties can avoid these pitfalls</w:t>
      </w:r>
      <w:r w:rsidRPr="008B7435">
        <w:t xml:space="preserve"> by</w:t>
      </w:r>
      <w:r>
        <w:t xml:space="preserve"> engaging the public and identifying valued resources in order to dete</w:t>
      </w:r>
      <w:r>
        <w:t>r</w:t>
      </w:r>
      <w:r>
        <w:t>mine the most suitable areas for</w:t>
      </w:r>
      <w:r w:rsidRPr="008B7435">
        <w:t xml:space="preserve"> TND pro</w:t>
      </w:r>
      <w:r>
        <w:t xml:space="preserve">posals. Hiring a </w:t>
      </w:r>
      <w:r w:rsidRPr="00CF52AB">
        <w:t>professional planning consultant with both community visioning and TND ordinance writing e</w:t>
      </w:r>
      <w:r w:rsidRPr="00CF52AB">
        <w:t>x</w:t>
      </w:r>
      <w:r w:rsidRPr="00CF52AB">
        <w:t>perience, while not essential, can</w:t>
      </w:r>
      <w:r>
        <w:t xml:space="preserve"> </w:t>
      </w:r>
      <w:r w:rsidRPr="00CF52AB">
        <w:t>be very helpful</w:t>
      </w:r>
      <w:r>
        <w:t>. This is</w:t>
      </w:r>
      <w:r w:rsidRPr="00CF52AB">
        <w:t xml:space="preserve"> especially </w:t>
      </w:r>
      <w:r>
        <w:t xml:space="preserve">true </w:t>
      </w:r>
      <w:r w:rsidRPr="00CF52AB">
        <w:t xml:space="preserve">for proactive municipalities that want to develop a master plan and TND ordinance provisions in advance of receiving </w:t>
      </w:r>
      <w:r w:rsidR="00003220">
        <w:t>an actual TND proposal.</w:t>
      </w:r>
    </w:p>
    <w:p w14:paraId="04336A19" w14:textId="2916D7CE" w:rsidR="00550F05" w:rsidRDefault="00E53266" w:rsidP="00E53266">
      <w:pPr>
        <w:pStyle w:val="Heading3"/>
      </w:pPr>
      <w:r>
        <w:t xml:space="preserve">Cost to </w:t>
      </w:r>
      <w:r w:rsidR="001C2A9B">
        <w:t>Developers</w:t>
      </w:r>
    </w:p>
    <w:p w14:paraId="72442413" w14:textId="76C81EC1" w:rsidR="00E53266" w:rsidRDefault="00E53266">
      <w:pPr>
        <w:pStyle w:val="BodyText"/>
      </w:pPr>
      <w:r>
        <w:t>D</w:t>
      </w:r>
      <w:r w:rsidR="00550F05">
        <w:t xml:space="preserve">evelopers </w:t>
      </w:r>
      <w:r>
        <w:t>generally don’t consider</w:t>
      </w:r>
      <w:r w:rsidR="00550F05">
        <w:t xml:space="preserve"> build</w:t>
      </w:r>
      <w:r>
        <w:t>ing</w:t>
      </w:r>
      <w:r w:rsidR="00550F05">
        <w:t xml:space="preserve"> TNDs</w:t>
      </w:r>
      <w:r>
        <w:t xml:space="preserve"> for several reasons:</w:t>
      </w:r>
    </w:p>
    <w:p w14:paraId="1412CD6F" w14:textId="63F0DD9C" w:rsidR="00E53266" w:rsidRDefault="00E53266" w:rsidP="00404B8B">
      <w:pPr>
        <w:pStyle w:val="BodyBullet"/>
      </w:pPr>
      <w:r>
        <w:t>Assembling a large quantity of land is costly.</w:t>
      </w:r>
    </w:p>
    <w:p w14:paraId="4C63BC0A" w14:textId="01A23549" w:rsidR="00E53266" w:rsidRDefault="00E53266" w:rsidP="00404B8B">
      <w:pPr>
        <w:pStyle w:val="BodyBullet"/>
      </w:pPr>
      <w:r>
        <w:t xml:space="preserve">Lender avoidance of risk in </w:t>
      </w:r>
      <w:r w:rsidR="00550F05">
        <w:t>u</w:t>
      </w:r>
      <w:r w:rsidR="001C2A9B">
        <w:t>ntested markets makes</w:t>
      </w:r>
      <w:r>
        <w:t xml:space="preserve"> financing</w:t>
      </w:r>
      <w:r w:rsidR="001C2A9B">
        <w:t xml:space="preserve"> innovati</w:t>
      </w:r>
      <w:r>
        <w:t>ve development</w:t>
      </w:r>
      <w:r w:rsidR="001C2A9B">
        <w:t xml:space="preserve"> diff</w:t>
      </w:r>
      <w:r w:rsidR="001C2A9B">
        <w:t>i</w:t>
      </w:r>
      <w:r w:rsidR="001C2A9B">
        <w:t>cult.</w:t>
      </w:r>
    </w:p>
    <w:p w14:paraId="37FB1DD4" w14:textId="078D2D2F" w:rsidR="00550F05" w:rsidRPr="00550F05" w:rsidRDefault="00E53266" w:rsidP="00404B8B">
      <w:pPr>
        <w:pStyle w:val="BodyBullet"/>
      </w:pPr>
      <w:r>
        <w:t>The</w:t>
      </w:r>
      <w:r w:rsidR="001C2A9B">
        <w:t xml:space="preserve"> process of amending a municipal zoning o</w:t>
      </w:r>
      <w:r w:rsidR="001C2A9B">
        <w:t>r</w:t>
      </w:r>
      <w:r w:rsidR="001C2A9B">
        <w:t>dinance to accommodate a TND can be costly, time-consuming, and filled with unknowns</w:t>
      </w:r>
      <w:r w:rsidR="00976B69">
        <w:t>; plus, there is a real risk that the municipality will fail to enact the necessary provisions.</w:t>
      </w:r>
    </w:p>
    <w:p w14:paraId="2696F723" w14:textId="7338F89B" w:rsidR="005F7819" w:rsidRPr="008B7435" w:rsidRDefault="005F7819" w:rsidP="00B67A4A">
      <w:pPr>
        <w:pStyle w:val="Heading1"/>
      </w:pPr>
      <w:bookmarkStart w:id="11" w:name="_Toc485999057"/>
      <w:r>
        <w:t>Development Patterns and Critical Mass</w:t>
      </w:r>
      <w:bookmarkEnd w:id="11"/>
    </w:p>
    <w:p w14:paraId="4EF1EC4C" w14:textId="566B0F7C" w:rsidR="00B741A8" w:rsidRDefault="00B741A8" w:rsidP="00AF4B65">
      <w:pPr>
        <w:pStyle w:val="BodyText"/>
      </w:pPr>
      <w:r>
        <w:t>In many—but not all—cases,</w:t>
      </w:r>
      <w:r w:rsidR="008142A4">
        <w:t xml:space="preserve"> development of a co</w:t>
      </w:r>
      <w:r w:rsidR="008142A4">
        <w:t>m</w:t>
      </w:r>
      <w:r w:rsidR="008142A4">
        <w:t xml:space="preserve">plete TND will require large tracts of vacant or under-developed land, ideally with immediate or planned access to roads, public transit, and public water and sewer systems. Development of smaller individual </w:t>
      </w:r>
      <w:r w:rsidR="008142A4">
        <w:lastRenderedPageBreak/>
        <w:t>tracts rarely provides the critical mass of development needed to support a market for community amenities or commercial uses on their own, regardless of what zoning may permit.</w:t>
      </w:r>
    </w:p>
    <w:p w14:paraId="643DFB5C" w14:textId="5A94F9DE" w:rsidR="008142A4" w:rsidRDefault="008142A4" w:rsidP="00AF4B65">
      <w:pPr>
        <w:pStyle w:val="BodyText"/>
      </w:pPr>
      <w:r>
        <w:t>Because land ownership patterns are fragmented and the real estate market seldom supports town-scale d</w:t>
      </w:r>
      <w:r>
        <w:t>e</w:t>
      </w:r>
      <w:r>
        <w:t xml:space="preserve">velopment all at once, a master plan for the entire area zoned for TND </w:t>
      </w:r>
      <w:r w:rsidR="00537C98">
        <w:t xml:space="preserve">is </w:t>
      </w:r>
      <w:r>
        <w:t xml:space="preserve">critical in order to designate </w:t>
      </w:r>
      <w:r w:rsidR="00322B4F">
        <w:t>appr</w:t>
      </w:r>
      <w:r w:rsidR="00322B4F">
        <w:t>o</w:t>
      </w:r>
      <w:r w:rsidR="00322B4F">
        <w:t xml:space="preserve">priate </w:t>
      </w:r>
      <w:r>
        <w:t xml:space="preserve">locations </w:t>
      </w:r>
      <w:r w:rsidR="00322B4F">
        <w:t>for</w:t>
      </w:r>
      <w:r>
        <w:t xml:space="preserve"> the various components that will comprise the TND. As individual parcels are deve</w:t>
      </w:r>
      <w:r>
        <w:t>l</w:t>
      </w:r>
      <w:r>
        <w:t xml:space="preserve">oped in alignment with the master plan, the overall development pattern of the TND will gradually take shape. Incentive zoning provisions, which promote the right TND components in the right places, are just as important as the master plan. </w:t>
      </w:r>
      <w:r w:rsidR="00402534">
        <w:t>They may be acco</w:t>
      </w:r>
      <w:r w:rsidR="00402534">
        <w:t>m</w:t>
      </w:r>
      <w:r w:rsidR="00402534">
        <w:t>panied by</w:t>
      </w:r>
      <w:r>
        <w:t xml:space="preserve"> concurrent disincentives in the base zoning provisions so that properties </w:t>
      </w:r>
      <w:r w:rsidR="00402534">
        <w:t>are</w:t>
      </w:r>
      <w:r>
        <w:t xml:space="preserve"> </w:t>
      </w:r>
      <w:r w:rsidR="00402534">
        <w:t xml:space="preserve">held available </w:t>
      </w:r>
      <w:r>
        <w:t>until the real estate market is ripe for the desired TND components.</w:t>
      </w:r>
    </w:p>
    <w:p w14:paraId="22F07EB6" w14:textId="3AC0BB53" w:rsidR="008142A4" w:rsidRDefault="008142A4" w:rsidP="00AF4B65">
      <w:pPr>
        <w:pStyle w:val="BodyText"/>
      </w:pPr>
      <w:r>
        <w:t>Smaller land holdings located in the midst of</w:t>
      </w:r>
      <w:r w:rsidR="00402534">
        <w:t xml:space="preserve"> or on the immediate edge of existing urban or suburban neig</w:t>
      </w:r>
      <w:r w:rsidR="00402534">
        <w:t>h</w:t>
      </w:r>
      <w:r w:rsidR="00402534">
        <w:t>borhoods are a different case; the surrounding development provides a critical mass of population to warrant mixed-use development. However, even in these situations an overall TND master plan and a</w:t>
      </w:r>
      <w:r w:rsidR="00402534">
        <w:t>p</w:t>
      </w:r>
      <w:r w:rsidR="00402534">
        <w:t>propriate zoning incentives are desirable to promote the right developments in the right places.</w:t>
      </w:r>
    </w:p>
    <w:p w14:paraId="0DD04ACD" w14:textId="6A19798D" w:rsidR="00AF4B65" w:rsidRDefault="00B741A8" w:rsidP="00B67A4A">
      <w:pPr>
        <w:pStyle w:val="Heading1"/>
      </w:pPr>
      <w:bookmarkStart w:id="12" w:name="_Toc481494349"/>
      <w:bookmarkStart w:id="13" w:name="_Toc485999058"/>
      <w:r>
        <w:t xml:space="preserve">TND </w:t>
      </w:r>
      <w:r w:rsidRPr="00224DBC">
        <w:t xml:space="preserve">Ordinance </w:t>
      </w:r>
      <w:bookmarkEnd w:id="12"/>
      <w:r w:rsidR="0082012E">
        <w:t>Goals</w:t>
      </w:r>
      <w:bookmarkEnd w:id="13"/>
    </w:p>
    <w:p w14:paraId="3611AEFF" w14:textId="29CF52C6" w:rsidR="00B741A8" w:rsidRPr="00224DBC" w:rsidRDefault="00B741A8" w:rsidP="00AF4B65">
      <w:pPr>
        <w:pStyle w:val="BodyText"/>
      </w:pPr>
      <w:r w:rsidRPr="00224DBC">
        <w:t>Typical TND ordinances should result in development that:</w:t>
      </w:r>
    </w:p>
    <w:p w14:paraId="5F732FC5" w14:textId="4EE4C277" w:rsidR="00B741A8" w:rsidRPr="00224DBC" w:rsidRDefault="00B741A8" w:rsidP="00AF4B65">
      <w:pPr>
        <w:pStyle w:val="BodyBullet"/>
      </w:pPr>
      <w:r w:rsidRPr="00224DBC">
        <w:t xml:space="preserve">Has a discernible center. This is often a square, </w:t>
      </w:r>
      <w:r w:rsidR="00567003">
        <w:t xml:space="preserve">plaza, </w:t>
      </w:r>
      <w:r w:rsidRPr="00224DBC">
        <w:t xml:space="preserve">green, or park. </w:t>
      </w:r>
      <w:r w:rsidR="00D02724">
        <w:t>The center is a good loc</w:t>
      </w:r>
      <w:r w:rsidR="00D02724">
        <w:t>a</w:t>
      </w:r>
      <w:r w:rsidR="00D02724">
        <w:t>tion for a public transit hub or stop.</w:t>
      </w:r>
    </w:p>
    <w:p w14:paraId="60FC8F2D" w14:textId="77777777" w:rsidR="00B741A8" w:rsidRPr="00224DBC" w:rsidRDefault="00B741A8" w:rsidP="00AF4B65">
      <w:pPr>
        <w:pStyle w:val="BodyBullet"/>
      </w:pPr>
      <w:r w:rsidRPr="00224DBC">
        <w:t>Includes a variety of residential dwelling types, so that people of different ages and socioeconomic</w:t>
      </w:r>
      <w:r>
        <w:t xml:space="preserve"> levels can find places to live, and locates most dwellings within a short walk of the community center.</w:t>
      </w:r>
    </w:p>
    <w:p w14:paraId="17D0DA49" w14:textId="44EC7774" w:rsidR="00976B69" w:rsidRDefault="00B741A8" w:rsidP="00AF4B65">
      <w:pPr>
        <w:pStyle w:val="BodyBullet"/>
      </w:pPr>
      <w:r w:rsidRPr="00224DBC">
        <w:t>Supports shops, offices, and restaurants that meet most of the residents</w:t>
      </w:r>
      <w:r w:rsidR="00537C98">
        <w:t>’ needs</w:t>
      </w:r>
      <w:r w:rsidR="00976B69">
        <w:t>.</w:t>
      </w:r>
    </w:p>
    <w:p w14:paraId="540D9FCB" w14:textId="67DEA629" w:rsidR="00B741A8" w:rsidRPr="00224DBC" w:rsidRDefault="00976B69" w:rsidP="00AF4B65">
      <w:pPr>
        <w:pStyle w:val="BodyBullet"/>
      </w:pPr>
      <w:r>
        <w:lastRenderedPageBreak/>
        <w:t>Provides</w:t>
      </w:r>
      <w:r w:rsidR="00550F05">
        <w:t xml:space="preserve"> </w:t>
      </w:r>
      <w:r w:rsidR="001C2A9B">
        <w:t xml:space="preserve">two or three-story </w:t>
      </w:r>
      <w:r w:rsidR="00550F05">
        <w:t>commercial buildings with street-level retail space and offices or hou</w:t>
      </w:r>
      <w:r w:rsidR="00550F05">
        <w:t>s</w:t>
      </w:r>
      <w:r w:rsidR="00550F05">
        <w:t>ing on the upper floors.</w:t>
      </w:r>
    </w:p>
    <w:p w14:paraId="29B7FE8C" w14:textId="77777777" w:rsidR="00B741A8" w:rsidRPr="00224DBC" w:rsidRDefault="00B741A8" w:rsidP="00AF4B65">
      <w:pPr>
        <w:pStyle w:val="BodyBullet"/>
      </w:pPr>
      <w:r w:rsidRPr="00224DBC">
        <w:t>Locates a school close enough so that most chi</w:t>
      </w:r>
      <w:r w:rsidRPr="00224DBC">
        <w:t>l</w:t>
      </w:r>
      <w:r w:rsidRPr="00224DBC">
        <w:t>dren can walk from where they live.</w:t>
      </w:r>
    </w:p>
    <w:p w14:paraId="12AD057F" w14:textId="77777777" w:rsidR="00B741A8" w:rsidRPr="00224DBC" w:rsidRDefault="00B741A8" w:rsidP="00AF4B65">
      <w:pPr>
        <w:pStyle w:val="BodyBullet"/>
      </w:pPr>
      <w:r w:rsidRPr="00224DBC">
        <w:t>Uses streets to form a connected network, provi</w:t>
      </w:r>
      <w:r w:rsidRPr="00224DBC">
        <w:t>d</w:t>
      </w:r>
      <w:r w:rsidRPr="00224DBC">
        <w:t>ing multiple route options and reducing traffic congestion. These streets are relatively narrow and shaded by trees; there are sidewalks and po</w:t>
      </w:r>
      <w:r w:rsidRPr="00224DBC">
        <w:t>s</w:t>
      </w:r>
      <w:r w:rsidRPr="00224DBC">
        <w:t>sibly bike lanes to improve safety for pedestrians and cyclists.</w:t>
      </w:r>
    </w:p>
    <w:p w14:paraId="12B89B4D" w14:textId="77777777" w:rsidR="00B741A8" w:rsidRPr="00224DBC" w:rsidRDefault="00B741A8" w:rsidP="00AF4B65">
      <w:pPr>
        <w:pStyle w:val="BodyBullet"/>
      </w:pPr>
      <w:r w:rsidRPr="00224DBC">
        <w:t>Locates buildings close to the street, creating a sense of place by framing the sidewalk with street trees and building walls.</w:t>
      </w:r>
    </w:p>
    <w:p w14:paraId="4F2A9B5C" w14:textId="7B9D8915" w:rsidR="00B741A8" w:rsidRPr="00224DBC" w:rsidRDefault="00B741A8" w:rsidP="00AF4B65">
      <w:pPr>
        <w:pStyle w:val="BodyBullet"/>
      </w:pPr>
      <w:r w:rsidRPr="00224DBC">
        <w:t xml:space="preserve">Situates parking lots and </w:t>
      </w:r>
      <w:r>
        <w:t xml:space="preserve">garage doors at the rear of </w:t>
      </w:r>
      <w:r w:rsidRPr="00224DBC">
        <w:t>buildings, accessed by alleys. On-street parking is desirable.</w:t>
      </w:r>
    </w:p>
    <w:p w14:paraId="3096EFB7" w14:textId="10173D39" w:rsidR="00B741A8" w:rsidRDefault="00B741A8" w:rsidP="00AF4B65">
      <w:pPr>
        <w:pStyle w:val="BodyBullet"/>
      </w:pPr>
      <w:r w:rsidRPr="00224DBC">
        <w:t>Reserves prominent sites for community buil</w:t>
      </w:r>
      <w:r w:rsidRPr="00224DBC">
        <w:t>d</w:t>
      </w:r>
      <w:r w:rsidRPr="00224DBC">
        <w:t>ings like town halls, theaters, and churches.</w:t>
      </w:r>
    </w:p>
    <w:p w14:paraId="6F2F52B1" w14:textId="0198BC9D" w:rsidR="007A07B3" w:rsidRPr="007A07B3" w:rsidRDefault="001E7CD1" w:rsidP="007A07B3">
      <w:pPr>
        <w:pStyle w:val="BodyText"/>
      </w:pPr>
      <w:r>
        <w:t>(Many sources offer s</w:t>
      </w:r>
      <w:r w:rsidR="007A07B3">
        <w:t>ome variation of these comp</w:t>
      </w:r>
      <w:r w:rsidR="007A07B3">
        <w:t>o</w:t>
      </w:r>
      <w:r w:rsidR="007A07B3">
        <w:t>nents</w:t>
      </w:r>
      <w:r>
        <w:t>; this list was adapted</w:t>
      </w:r>
      <w:r w:rsidR="00976B69">
        <w:t>, in large part,</w:t>
      </w:r>
      <w:r>
        <w:t xml:space="preserve"> from DPZ Partners</w:t>
      </w:r>
      <w:r w:rsidR="00B67A4A">
        <w:t>, an architecture and town planning firm</w:t>
      </w:r>
      <w:r>
        <w:t>.)</w:t>
      </w:r>
    </w:p>
    <w:p w14:paraId="29770A69" w14:textId="236B772A" w:rsidR="00B741A8" w:rsidRPr="00224DBC" w:rsidRDefault="00B741A8" w:rsidP="00AF4B65">
      <w:pPr>
        <w:pStyle w:val="BodyText"/>
      </w:pPr>
      <w:r w:rsidRPr="00224DBC">
        <w:t xml:space="preserve">An integral component of TND ordinance provisions is design criteria, which describes (in narrative and graphic formats) how </w:t>
      </w:r>
      <w:r>
        <w:t xml:space="preserve">a proposed TND project must meet </w:t>
      </w:r>
      <w:r w:rsidRPr="00224DBC">
        <w:t xml:space="preserve">the above </w:t>
      </w:r>
      <w:r w:rsidR="00B51902">
        <w:t>goals</w:t>
      </w:r>
      <w:r w:rsidR="00B51902" w:rsidRPr="00224DBC">
        <w:t xml:space="preserve"> </w:t>
      </w:r>
      <w:r>
        <w:t>in order</w:t>
      </w:r>
      <w:r w:rsidRPr="00224DBC">
        <w:t xml:space="preserve"> to gain approval.</w:t>
      </w:r>
    </w:p>
    <w:p w14:paraId="56D72A32" w14:textId="77777777" w:rsidR="00B741A8" w:rsidRPr="00224DBC" w:rsidRDefault="00B741A8" w:rsidP="00AF4B65">
      <w:pPr>
        <w:pStyle w:val="BodyText"/>
      </w:pPr>
      <w:r w:rsidRPr="00224DBC">
        <w:t xml:space="preserve">TND ordinance provisions should also address the following components: </w:t>
      </w:r>
    </w:p>
    <w:p w14:paraId="177AA804" w14:textId="0D6B19F6" w:rsidR="00B741A8" w:rsidRPr="00224DBC" w:rsidRDefault="00567003" w:rsidP="00AF4B65">
      <w:pPr>
        <w:pStyle w:val="BodyBullet"/>
      </w:pPr>
      <w:r>
        <w:t>P</w:t>
      </w:r>
      <w:r w:rsidR="00B741A8" w:rsidRPr="00224DBC">
        <w:t xml:space="preserve">urpose and </w:t>
      </w:r>
      <w:r w:rsidR="00B741A8">
        <w:t>necessity of the provisions</w:t>
      </w:r>
      <w:r>
        <w:t>.</w:t>
      </w:r>
    </w:p>
    <w:p w14:paraId="578C71DA" w14:textId="7F637C6D" w:rsidR="00B741A8" w:rsidRPr="00224DBC" w:rsidRDefault="00567003" w:rsidP="00AF4B65">
      <w:pPr>
        <w:pStyle w:val="BodyBullet"/>
      </w:pPr>
      <w:r>
        <w:t>A</w:t>
      </w:r>
      <w:r w:rsidR="00B741A8" w:rsidRPr="00224DBC">
        <w:t>pplicability and criteria for qualifying uses u</w:t>
      </w:r>
      <w:r w:rsidR="00B741A8" w:rsidRPr="00224DBC">
        <w:t>n</w:t>
      </w:r>
      <w:r w:rsidR="00B741A8" w:rsidRPr="00224DBC">
        <w:t>der the ordinance</w:t>
      </w:r>
      <w:r>
        <w:t>.</w:t>
      </w:r>
    </w:p>
    <w:p w14:paraId="41F88E37" w14:textId="5394641E" w:rsidR="00B741A8" w:rsidRPr="00224DBC" w:rsidRDefault="00567003" w:rsidP="00AF4B65">
      <w:pPr>
        <w:pStyle w:val="BodyBullet"/>
      </w:pPr>
      <w:r>
        <w:t>A</w:t>
      </w:r>
      <w:r w:rsidR="00B741A8" w:rsidRPr="00224DBC">
        <w:t>ctual uses allowed</w:t>
      </w:r>
      <w:r>
        <w:t>.</w:t>
      </w:r>
    </w:p>
    <w:p w14:paraId="77749B89" w14:textId="26CC0C69" w:rsidR="00B741A8" w:rsidRPr="00224DBC" w:rsidRDefault="00567003" w:rsidP="00AF4B65">
      <w:pPr>
        <w:pStyle w:val="BodyBullet"/>
      </w:pPr>
      <w:r>
        <w:t>S</w:t>
      </w:r>
      <w:r w:rsidR="00B741A8" w:rsidRPr="00224DBC">
        <w:t xml:space="preserve">ize, dimension, and </w:t>
      </w:r>
      <w:r>
        <w:t>location of building stru</w:t>
      </w:r>
      <w:r>
        <w:t>c</w:t>
      </w:r>
      <w:r>
        <w:t>tures.</w:t>
      </w:r>
    </w:p>
    <w:p w14:paraId="4F7FC284" w14:textId="0D17591D" w:rsidR="00B741A8" w:rsidRPr="00224DBC" w:rsidRDefault="00567003" w:rsidP="00AF4B65">
      <w:pPr>
        <w:pStyle w:val="BodyBullet"/>
      </w:pPr>
      <w:r>
        <w:t>S</w:t>
      </w:r>
      <w:r w:rsidR="00B741A8">
        <w:t xml:space="preserve">upplemental criteria, </w:t>
      </w:r>
      <w:r w:rsidR="00B741A8" w:rsidRPr="00224DBC">
        <w:t>such as wheth</w:t>
      </w:r>
      <w:r w:rsidR="00B741A8">
        <w:t>er modific</w:t>
      </w:r>
      <w:r w:rsidR="00B741A8">
        <w:t>a</w:t>
      </w:r>
      <w:r w:rsidR="00B741A8">
        <w:t xml:space="preserve">tions are allowed, specific conservation-related </w:t>
      </w:r>
      <w:r w:rsidR="007D28F8">
        <w:t>goals</w:t>
      </w:r>
      <w:r w:rsidR="00B741A8">
        <w:t xml:space="preserve">, and </w:t>
      </w:r>
      <w:r w:rsidR="00B741A8" w:rsidRPr="00224DBC">
        <w:t>the relationship between the TND pr</w:t>
      </w:r>
      <w:r w:rsidR="00B741A8" w:rsidRPr="00224DBC">
        <w:t>o</w:t>
      </w:r>
      <w:r w:rsidR="00B741A8" w:rsidRPr="00224DBC">
        <w:t>visions</w:t>
      </w:r>
      <w:r w:rsidR="00B741A8">
        <w:t xml:space="preserve"> and other </w:t>
      </w:r>
      <w:r w:rsidR="00B741A8" w:rsidRPr="00224DBC">
        <w:t>provisions related to signs, parking, etc.</w:t>
      </w:r>
    </w:p>
    <w:p w14:paraId="4A9FFEF8" w14:textId="71FD1D5A" w:rsidR="00B741A8" w:rsidRDefault="00B741A8" w:rsidP="00003220">
      <w:pPr>
        <w:pStyle w:val="Heading1"/>
      </w:pPr>
      <w:bookmarkStart w:id="14" w:name="_Toc481494350"/>
      <w:bookmarkStart w:id="15" w:name="_Toc485999059"/>
      <w:r>
        <w:lastRenderedPageBreak/>
        <w:t>Steps</w:t>
      </w:r>
      <w:bookmarkEnd w:id="14"/>
      <w:r>
        <w:t xml:space="preserve"> </w:t>
      </w:r>
      <w:r w:rsidR="00B67A4A">
        <w:t>to Enact a TND Ordinance</w:t>
      </w:r>
      <w:bookmarkEnd w:id="15"/>
    </w:p>
    <w:p w14:paraId="77054309" w14:textId="77777777" w:rsidR="00B741A8" w:rsidRDefault="00B741A8" w:rsidP="00B741A8">
      <w:pPr>
        <w:pStyle w:val="BodyText"/>
      </w:pPr>
      <w:r>
        <w:t>Enacting a zoning ordinance amendment to acco</w:t>
      </w:r>
      <w:r>
        <w:t>m</w:t>
      </w:r>
      <w:r>
        <w:t>modate or encourage TND in a municipality involves these basic steps:</w:t>
      </w:r>
    </w:p>
    <w:p w14:paraId="1FE9B365" w14:textId="2253DA1E" w:rsidR="00B741A8" w:rsidRDefault="00B741A8" w:rsidP="00E04CD5">
      <w:pPr>
        <w:pStyle w:val="ListNumber"/>
      </w:pPr>
      <w:r>
        <w:t>Through a comprehensive planning process, d</w:t>
      </w:r>
      <w:r>
        <w:t>e</w:t>
      </w:r>
      <w:r>
        <w:t>termine the community’s ability to accommodate TNDs. This includes identifying valued natural and historic resources for protection, projecting population growth and future development pre</w:t>
      </w:r>
      <w:r>
        <w:t>s</w:t>
      </w:r>
      <w:r>
        <w:t>sure, and evaluating existing and future infrastructure for compatibility with TNDs. It also may require outreach to educate citizens, lan</w:t>
      </w:r>
      <w:r>
        <w:t>d</w:t>
      </w:r>
      <w:r>
        <w:t>owners, and officials about the benefits of TND. This education can occur through multiple cha</w:t>
      </w:r>
      <w:r>
        <w:t>n</w:t>
      </w:r>
      <w:r>
        <w:t>nels such as workshops, meetings, municipal newsletters, and online resources.</w:t>
      </w:r>
    </w:p>
    <w:p w14:paraId="05E37C6E" w14:textId="77777777" w:rsidR="00AF4B65" w:rsidRDefault="00AF4B65" w:rsidP="00AF4B65">
      <w:pPr>
        <w:pStyle w:val="ListNumber"/>
        <w:numPr>
          <w:ilvl w:val="0"/>
          <w:numId w:val="0"/>
        </w:numPr>
        <w:ind w:left="360"/>
      </w:pPr>
    </w:p>
    <w:p w14:paraId="098FB2C6" w14:textId="09D7D2A6" w:rsidR="00AF4B65" w:rsidRDefault="00B741A8" w:rsidP="00E04CD5">
      <w:pPr>
        <w:pStyle w:val="ListNumber"/>
      </w:pPr>
      <w:r>
        <w:t>Provide opportunities for citizens to participate in the design of the TND ordinance provisions. B</w:t>
      </w:r>
      <w:r>
        <w:t>e</w:t>
      </w:r>
      <w:r>
        <w:t xml:space="preserve">fore </w:t>
      </w:r>
      <w:r w:rsidR="00D2254D">
        <w:t xml:space="preserve">crafting </w:t>
      </w:r>
      <w:r>
        <w:t>the actual ordinance provisions, participants should collaborate with municipal o</w:t>
      </w:r>
      <w:r>
        <w:t>f</w:t>
      </w:r>
      <w:r>
        <w:t>ficials in charrettes or visioning events to develop a conceptual community plan that reflects the v</w:t>
      </w:r>
      <w:r>
        <w:t>i</w:t>
      </w:r>
      <w:r>
        <w:t>sion of residents. This plan will ultimately help shape the TND ordinance provisions and ensure that TND developments align with the commun</w:t>
      </w:r>
      <w:r>
        <w:t>i</w:t>
      </w:r>
      <w:r>
        <w:t xml:space="preserve">ty’s values. </w:t>
      </w:r>
    </w:p>
    <w:p w14:paraId="16A4BF40" w14:textId="77777777" w:rsidR="00AF4B65" w:rsidRDefault="00AF4B65" w:rsidP="00AF4B65">
      <w:pPr>
        <w:pStyle w:val="ListNumber"/>
        <w:numPr>
          <w:ilvl w:val="0"/>
          <w:numId w:val="0"/>
        </w:numPr>
        <w:ind w:left="360"/>
      </w:pPr>
    </w:p>
    <w:p w14:paraId="3FA0525B" w14:textId="5597FD13" w:rsidR="00B741A8" w:rsidRDefault="00B741A8" w:rsidP="00E04CD5">
      <w:pPr>
        <w:pStyle w:val="ListNumber"/>
      </w:pPr>
      <w:r>
        <w:t xml:space="preserve">Write and adopt the provisions. This process </w:t>
      </w:r>
      <w:r w:rsidR="00AF4B65">
        <w:t xml:space="preserve">is </w:t>
      </w:r>
      <w:r>
        <w:t>usually aided by a land use planner or municipal solicitor, and is directly guided by municipal off</w:t>
      </w:r>
      <w:r>
        <w:t>i</w:t>
      </w:r>
      <w:r>
        <w:t>cials and relevant staff or consultants. This is also the appropriate step at which to develop ince</w:t>
      </w:r>
      <w:r>
        <w:t>n</w:t>
      </w:r>
      <w:r>
        <w:t xml:space="preserve">tives related to TDRs within the TND ordinance (see “TDRs” section above). </w:t>
      </w:r>
    </w:p>
    <w:p w14:paraId="7A2E1D48" w14:textId="4CB856E8" w:rsidR="00AF4B65" w:rsidRDefault="00AF4B65" w:rsidP="00AF4B65">
      <w:pPr>
        <w:pStyle w:val="ListNumber"/>
        <w:numPr>
          <w:ilvl w:val="0"/>
          <w:numId w:val="0"/>
        </w:numPr>
      </w:pPr>
    </w:p>
    <w:p w14:paraId="048441A8" w14:textId="1E34D79E" w:rsidR="00B741A8" w:rsidRDefault="00B741A8" w:rsidP="00AF4B65">
      <w:pPr>
        <w:pStyle w:val="ListNumber"/>
      </w:pPr>
      <w:r>
        <w:t>Implement the provisions. Often, the municipal</w:t>
      </w:r>
      <w:r>
        <w:t>i</w:t>
      </w:r>
      <w:r>
        <w:t xml:space="preserve">ty’s code enforcement officer is responsible for interpreting and implementing the provisions. If this person lacks experience with TND ordinance provisions, the municipality </w:t>
      </w:r>
      <w:r w:rsidR="00ED0D90">
        <w:t xml:space="preserve">should </w:t>
      </w:r>
      <w:r w:rsidR="00DE2408">
        <w:t>seek</w:t>
      </w:r>
      <w:r>
        <w:t xml:space="preserve"> the co</w:t>
      </w:r>
      <w:r>
        <w:t>n</w:t>
      </w:r>
      <w:r>
        <w:t>tinued assistance of land use planners or other design professionals to review the actual applic</w:t>
      </w:r>
      <w:r>
        <w:t>a</w:t>
      </w:r>
      <w:r>
        <w:t>tion of the TND ordinance when projects are proposed.</w:t>
      </w:r>
    </w:p>
    <w:p w14:paraId="5C04223D" w14:textId="3B4A91D6" w:rsidR="00AF4B65" w:rsidRDefault="00AF4B65" w:rsidP="00AF4B65">
      <w:pPr>
        <w:pStyle w:val="ListNumber"/>
        <w:numPr>
          <w:ilvl w:val="0"/>
          <w:numId w:val="0"/>
        </w:numPr>
      </w:pPr>
    </w:p>
    <w:p w14:paraId="5D64CAFA" w14:textId="2ED73027" w:rsidR="00A1008B" w:rsidRDefault="00B741A8" w:rsidP="0001695A">
      <w:pPr>
        <w:pStyle w:val="ListNumber"/>
      </w:pPr>
      <w:r w:rsidRPr="00BF0561">
        <w:t>Revise the provisions over time</w:t>
      </w:r>
      <w:r>
        <w:t xml:space="preserve"> </w:t>
      </w:r>
      <w:r w:rsidRPr="00BF0561">
        <w:t>to ensure that the TND ordinance continues to meet land preserv</w:t>
      </w:r>
      <w:r w:rsidRPr="00BF0561">
        <w:t>a</w:t>
      </w:r>
      <w:r w:rsidRPr="00BF0561">
        <w:t>tion and other community development objectives.</w:t>
      </w:r>
      <w:r>
        <w:t xml:space="preserve"> Address any conflicts that arise between the TND ordinance and other ordinances.</w:t>
      </w:r>
    </w:p>
    <w:p w14:paraId="21448DC5" w14:textId="0BD30E7D" w:rsidR="00A1008B" w:rsidRDefault="00A1008B" w:rsidP="00A1008B">
      <w:pPr>
        <w:pStyle w:val="Heading1"/>
      </w:pPr>
      <w:bookmarkStart w:id="16" w:name="_Toc485999060"/>
      <w:r>
        <w:t>Examples of TND</w:t>
      </w:r>
      <w:bookmarkEnd w:id="16"/>
    </w:p>
    <w:p w14:paraId="756A7E9C" w14:textId="0D3F5D4C" w:rsidR="00264DE3" w:rsidRDefault="00BC10FE" w:rsidP="00264DE3">
      <w:pPr>
        <w:pStyle w:val="BodyText"/>
      </w:pPr>
      <w:r>
        <w:t>E</w:t>
      </w:r>
      <w:r w:rsidR="00264DE3">
        <w:t xml:space="preserve">ach of the projects listed below </w:t>
      </w:r>
      <w:r>
        <w:t>is linked to a website that describes the</w:t>
      </w:r>
      <w:r w:rsidR="00264DE3">
        <w:t xml:space="preserve"> traditional neighborhood develo</w:t>
      </w:r>
      <w:r w:rsidR="00264DE3">
        <w:t>p</w:t>
      </w:r>
      <w:r w:rsidR="00264DE3">
        <w:t>ment.</w:t>
      </w:r>
    </w:p>
    <w:p w14:paraId="3ADF784C" w14:textId="1A4FABEB" w:rsidR="00A1008B" w:rsidRDefault="00A1008B" w:rsidP="00D12324">
      <w:pPr>
        <w:pStyle w:val="Heading3"/>
      </w:pPr>
      <w:r>
        <w:t>Pennsylvani</w:t>
      </w:r>
      <w:r w:rsidR="00003220">
        <w:t>a</w:t>
      </w:r>
    </w:p>
    <w:p w14:paraId="18398BD3" w14:textId="77777777" w:rsidR="003A5502" w:rsidRPr="003A5502" w:rsidRDefault="00090FB3" w:rsidP="003A5502">
      <w:pPr>
        <w:pStyle w:val="ListBullet"/>
      </w:pPr>
      <w:hyperlink r:id="rId12" w:history="1">
        <w:proofErr w:type="spellStart"/>
        <w:r w:rsidR="003A5502" w:rsidRPr="003A5502">
          <w:rPr>
            <w:rStyle w:val="Hyperlink"/>
          </w:rPr>
          <w:t>Eagleview</w:t>
        </w:r>
        <w:proofErr w:type="spellEnd"/>
      </w:hyperlink>
      <w:r w:rsidR="003A5502" w:rsidRPr="003A5502">
        <w:t xml:space="preserve"> (Exton)</w:t>
      </w:r>
    </w:p>
    <w:p w14:paraId="55F3AC48" w14:textId="0A12C4A6" w:rsidR="003A5502" w:rsidRDefault="00090FB3" w:rsidP="003A5502">
      <w:pPr>
        <w:pStyle w:val="ListBullet"/>
      </w:pPr>
      <w:hyperlink r:id="rId13" w:history="1">
        <w:r w:rsidR="003A5502" w:rsidRPr="003A5502">
          <w:rPr>
            <w:rStyle w:val="Hyperlink"/>
          </w:rPr>
          <w:t>Florin Hill</w:t>
        </w:r>
      </w:hyperlink>
      <w:r w:rsidR="003A5502" w:rsidRPr="003A5502">
        <w:t xml:space="preserve"> (Mount Joy</w:t>
      </w:r>
      <w:r w:rsidR="003A5502">
        <w:t>)</w:t>
      </w:r>
    </w:p>
    <w:p w14:paraId="4C7697D8" w14:textId="695360CE" w:rsidR="005A1A98" w:rsidRDefault="00090FB3" w:rsidP="005A1A98">
      <w:pPr>
        <w:pStyle w:val="ListBullet"/>
      </w:pPr>
      <w:hyperlink r:id="rId14" w:history="1">
        <w:r w:rsidR="005A1A98" w:rsidRPr="00B61592">
          <w:rPr>
            <w:rStyle w:val="Hyperlink"/>
          </w:rPr>
          <w:t>Lantern Hill</w:t>
        </w:r>
      </w:hyperlink>
      <w:r w:rsidR="005A1A98">
        <w:t xml:space="preserve"> (Doylestown)</w:t>
      </w:r>
    </w:p>
    <w:p w14:paraId="3EB5A4AA" w14:textId="1A999672" w:rsidR="003A5502" w:rsidRDefault="00090FB3" w:rsidP="003A5502">
      <w:pPr>
        <w:pStyle w:val="ListBullet"/>
      </w:pPr>
      <w:hyperlink r:id="rId15" w:history="1">
        <w:r w:rsidR="003A5502" w:rsidRPr="003A5502">
          <w:rPr>
            <w:rStyle w:val="Hyperlink"/>
          </w:rPr>
          <w:t>Millcreek</w:t>
        </w:r>
      </w:hyperlink>
      <w:r w:rsidR="003A5502" w:rsidRPr="003A5502">
        <w:t xml:space="preserve"> (West </w:t>
      </w:r>
      <w:proofErr w:type="spellStart"/>
      <w:r w:rsidR="003A5502" w:rsidRPr="003A5502">
        <w:t>Lampeter</w:t>
      </w:r>
      <w:proofErr w:type="spellEnd"/>
      <w:r w:rsidR="003A5502" w:rsidRPr="003A5502">
        <w:t xml:space="preserve"> Township)</w:t>
      </w:r>
    </w:p>
    <w:p w14:paraId="78486C8B" w14:textId="0E4C4170" w:rsidR="005A1A98" w:rsidRDefault="00090FB3" w:rsidP="005A1A98">
      <w:pPr>
        <w:pStyle w:val="ListBullet"/>
      </w:pPr>
      <w:hyperlink r:id="rId16" w:history="1">
        <w:r w:rsidR="005A1A98" w:rsidRPr="006923EB">
          <w:rPr>
            <w:rStyle w:val="Hyperlink"/>
          </w:rPr>
          <w:t>New Daleville</w:t>
        </w:r>
      </w:hyperlink>
      <w:r w:rsidR="005A1A98">
        <w:t xml:space="preserve"> (Londonderry Township)</w:t>
      </w:r>
    </w:p>
    <w:p w14:paraId="3A179A2E" w14:textId="4B269B47" w:rsidR="003A5502" w:rsidRDefault="00090FB3" w:rsidP="003A5502">
      <w:pPr>
        <w:pStyle w:val="ListBullet"/>
      </w:pPr>
      <w:hyperlink r:id="rId17" w:history="1">
        <w:r w:rsidR="005A1A98" w:rsidRPr="003A5502">
          <w:rPr>
            <w:rStyle w:val="Hyperlink"/>
          </w:rPr>
          <w:t>Sum</w:t>
        </w:r>
        <w:r w:rsidR="003A5502" w:rsidRPr="003A5502">
          <w:rPr>
            <w:rStyle w:val="Hyperlink"/>
          </w:rPr>
          <w:t>merset at Frick Park</w:t>
        </w:r>
      </w:hyperlink>
      <w:r w:rsidR="003A5502" w:rsidRPr="003A5502">
        <w:t xml:space="preserve"> (Pittsburg</w:t>
      </w:r>
      <w:r w:rsidR="00DA4C7E">
        <w:t>h</w:t>
      </w:r>
      <w:r w:rsidR="005A1A98" w:rsidRPr="003A5502">
        <w:t>)</w:t>
      </w:r>
    </w:p>
    <w:p w14:paraId="4EF0121E" w14:textId="5BBC2F70" w:rsidR="005A1A98" w:rsidRDefault="00090FB3" w:rsidP="005A1A98">
      <w:pPr>
        <w:pStyle w:val="ListBullet"/>
      </w:pPr>
      <w:hyperlink r:id="rId18" w:history="1">
        <w:r w:rsidR="005A1A98" w:rsidRPr="006923EB">
          <w:rPr>
            <w:rStyle w:val="Hyperlink"/>
          </w:rPr>
          <w:t>The Village at Valley Forge</w:t>
        </w:r>
      </w:hyperlink>
      <w:r w:rsidR="005A1A98">
        <w:t xml:space="preserve"> (King</w:t>
      </w:r>
      <w:r w:rsidR="00B61592">
        <w:t xml:space="preserve"> of Prussia)</w:t>
      </w:r>
    </w:p>
    <w:p w14:paraId="2005B494" w14:textId="21CD7734" w:rsidR="00A1008B" w:rsidRDefault="00A1008B" w:rsidP="00D12324">
      <w:pPr>
        <w:pStyle w:val="Heading3"/>
      </w:pPr>
      <w:r>
        <w:t>National</w:t>
      </w:r>
    </w:p>
    <w:p w14:paraId="164F17D2" w14:textId="77777777" w:rsidR="00675594" w:rsidRPr="00675594" w:rsidRDefault="00090FB3" w:rsidP="00675594">
      <w:pPr>
        <w:pStyle w:val="ListBullet"/>
      </w:pPr>
      <w:hyperlink r:id="rId19" w:history="1">
        <w:r w:rsidR="00675594" w:rsidRPr="00675594">
          <w:rPr>
            <w:rStyle w:val="Hyperlink"/>
          </w:rPr>
          <w:t>Daniel Island</w:t>
        </w:r>
      </w:hyperlink>
      <w:r w:rsidR="00675594" w:rsidRPr="00675594">
        <w:t xml:space="preserve"> (Charleston, SC)</w:t>
      </w:r>
    </w:p>
    <w:p w14:paraId="0FA2451D" w14:textId="77777777" w:rsidR="00675594" w:rsidRPr="00675594" w:rsidRDefault="00090FB3" w:rsidP="00675594">
      <w:pPr>
        <w:pStyle w:val="ListBullet"/>
      </w:pPr>
      <w:hyperlink r:id="rId20" w:history="1">
        <w:r w:rsidR="00675594" w:rsidRPr="00675594">
          <w:rPr>
            <w:rStyle w:val="Hyperlink"/>
          </w:rPr>
          <w:t>Encore</w:t>
        </w:r>
      </w:hyperlink>
      <w:r w:rsidR="00675594" w:rsidRPr="00675594">
        <w:t xml:space="preserve"> (Tampa, FL)</w:t>
      </w:r>
    </w:p>
    <w:p w14:paraId="25A32D89" w14:textId="77777777" w:rsidR="00675594" w:rsidRPr="00675594" w:rsidRDefault="00090FB3" w:rsidP="00675594">
      <w:pPr>
        <w:pStyle w:val="ListBullet"/>
      </w:pPr>
      <w:hyperlink r:id="rId21" w:history="1">
        <w:r w:rsidR="00675594" w:rsidRPr="00675594">
          <w:rPr>
            <w:rStyle w:val="Hyperlink"/>
          </w:rPr>
          <w:t>Glenwood Park</w:t>
        </w:r>
      </w:hyperlink>
      <w:r w:rsidR="00675594" w:rsidRPr="00675594">
        <w:t xml:space="preserve"> (Atlanta, GA)</w:t>
      </w:r>
    </w:p>
    <w:p w14:paraId="6698FAC4" w14:textId="677C2F23" w:rsidR="00675594" w:rsidRDefault="00090FB3" w:rsidP="00675594">
      <w:pPr>
        <w:pStyle w:val="ListBullet"/>
      </w:pPr>
      <w:hyperlink r:id="rId22" w:history="1">
        <w:r w:rsidR="00A1008B" w:rsidRPr="00675594">
          <w:rPr>
            <w:rStyle w:val="Hyperlink"/>
          </w:rPr>
          <w:t>Harbor Town</w:t>
        </w:r>
      </w:hyperlink>
      <w:r w:rsidR="00A1008B" w:rsidRPr="00675594">
        <w:t xml:space="preserve"> (Memphis, TN)</w:t>
      </w:r>
    </w:p>
    <w:p w14:paraId="16AD6B15" w14:textId="0142468B" w:rsidR="00A1008B" w:rsidRDefault="00090FB3" w:rsidP="00A1008B">
      <w:pPr>
        <w:pStyle w:val="ListBullet"/>
      </w:pPr>
      <w:hyperlink r:id="rId23" w:history="1">
        <w:proofErr w:type="spellStart"/>
        <w:r w:rsidR="00A1008B" w:rsidRPr="00953AEA">
          <w:rPr>
            <w:rStyle w:val="Hyperlink"/>
          </w:rPr>
          <w:t>Kentlands</w:t>
        </w:r>
        <w:proofErr w:type="spellEnd"/>
      </w:hyperlink>
      <w:r w:rsidR="00A1008B">
        <w:t xml:space="preserve"> (Gaithersburg, MD)</w:t>
      </w:r>
    </w:p>
    <w:p w14:paraId="5B0B7269" w14:textId="5360FAA8" w:rsidR="00A1008B" w:rsidRDefault="00090FB3" w:rsidP="00A1008B">
      <w:pPr>
        <w:pStyle w:val="ListBullet"/>
      </w:pPr>
      <w:hyperlink r:id="rId24" w:history="1">
        <w:r w:rsidR="00953AEA" w:rsidRPr="00953AEA">
          <w:rPr>
            <w:rStyle w:val="Hyperlink"/>
          </w:rPr>
          <w:t>Stapleton District 1</w:t>
        </w:r>
      </w:hyperlink>
      <w:r w:rsidR="00953AEA">
        <w:t xml:space="preserve"> </w:t>
      </w:r>
      <w:r w:rsidR="00A1008B">
        <w:t>(</w:t>
      </w:r>
      <w:r w:rsidR="00953AEA">
        <w:t>Denver</w:t>
      </w:r>
      <w:r w:rsidR="00A1008B">
        <w:t>, CO)</w:t>
      </w:r>
    </w:p>
    <w:p w14:paraId="0509B94C" w14:textId="17B121C6" w:rsidR="00675594" w:rsidRDefault="00090FB3" w:rsidP="00A1008B">
      <w:pPr>
        <w:pStyle w:val="ListBullet"/>
      </w:pPr>
      <w:hyperlink r:id="rId25" w:history="1">
        <w:r w:rsidR="00675594" w:rsidRPr="00675594">
          <w:rPr>
            <w:rStyle w:val="Hyperlink"/>
          </w:rPr>
          <w:t>The Glen</w:t>
        </w:r>
      </w:hyperlink>
      <w:r w:rsidR="00675594">
        <w:t xml:space="preserve"> (Glenview, IL)</w:t>
      </w:r>
    </w:p>
    <w:p w14:paraId="3567B46F" w14:textId="0B8D6E5C" w:rsidR="00675594" w:rsidRDefault="00675594" w:rsidP="00675594">
      <w:pPr>
        <w:pStyle w:val="BodyText"/>
      </w:pPr>
      <w:r>
        <w:t xml:space="preserve">Explore more </w:t>
      </w:r>
      <w:r w:rsidR="00B61592">
        <w:t xml:space="preserve">national and international </w:t>
      </w:r>
      <w:r w:rsidR="005A1A98">
        <w:t>case studies</w:t>
      </w:r>
      <w:r>
        <w:t xml:space="preserve"> on the Urban Land Institute </w:t>
      </w:r>
      <w:hyperlink r:id="rId26" w:history="1">
        <w:r w:rsidRPr="005A1A98">
          <w:rPr>
            <w:rStyle w:val="Hyperlink"/>
          </w:rPr>
          <w:t>website</w:t>
        </w:r>
      </w:hyperlink>
      <w:r w:rsidR="005A1A98">
        <w:t>.</w:t>
      </w:r>
    </w:p>
    <w:p w14:paraId="7EE7A845" w14:textId="4910604E" w:rsidR="008B6543" w:rsidRDefault="008B6543" w:rsidP="008B6543">
      <w:pPr>
        <w:pStyle w:val="Heading1"/>
      </w:pPr>
      <w:bookmarkStart w:id="17" w:name="_Toc481494343"/>
      <w:bookmarkStart w:id="18" w:name="_Toc485999061"/>
      <w:bookmarkStart w:id="19" w:name="_Toc241539817"/>
      <w:bookmarkStart w:id="20" w:name="_Toc477426814"/>
      <w:bookmarkStart w:id="21" w:name="_Toc479763478"/>
      <w:bookmarkStart w:id="22" w:name="_Toc480398171"/>
      <w:bookmarkStart w:id="23" w:name="_Toc481494351"/>
      <w:bookmarkEnd w:id="1"/>
      <w:r>
        <w:t>Pennsylvania Law</w:t>
      </w:r>
      <w:bookmarkEnd w:id="17"/>
      <w:bookmarkEnd w:id="18"/>
    </w:p>
    <w:p w14:paraId="182F5FCC" w14:textId="77777777" w:rsidR="008B6543" w:rsidRDefault="008B6543" w:rsidP="008B6543">
      <w:pPr>
        <w:pStyle w:val="BodyText"/>
      </w:pPr>
      <w:r>
        <w:t xml:space="preserve">In 2000, amendments to the </w:t>
      </w:r>
      <w:hyperlink r:id="rId27" w:history="1">
        <w:r w:rsidRPr="00F73123">
          <w:rPr>
            <w:rStyle w:val="Hyperlink"/>
          </w:rPr>
          <w:t>Pennsylvania Municipal</w:t>
        </w:r>
        <w:r w:rsidRPr="00F73123">
          <w:rPr>
            <w:rStyle w:val="Hyperlink"/>
          </w:rPr>
          <w:t>i</w:t>
        </w:r>
        <w:r w:rsidRPr="00F73123">
          <w:rPr>
            <w:rStyle w:val="Hyperlink"/>
          </w:rPr>
          <w:t>ties Planning Code</w:t>
        </w:r>
      </w:hyperlink>
      <w:r>
        <w:t xml:space="preserve"> (MPC) explicitly enabled TND zoning ordinance provisions for the first time. (All l</w:t>
      </w:r>
      <w:r>
        <w:t>o</w:t>
      </w:r>
      <w:r>
        <w:t>cal governments in the state, except Philadelphia and Pittsburgh, are subject to the MPC.)</w:t>
      </w:r>
    </w:p>
    <w:p w14:paraId="7D35A143" w14:textId="77777777" w:rsidR="00264DE3" w:rsidRDefault="008B6543" w:rsidP="008B6543">
      <w:pPr>
        <w:pStyle w:val="BodyText"/>
      </w:pPr>
      <w:r>
        <w:t xml:space="preserve">The MPC requires that a comprehensive plan, and the ordinances necessary to implement it, provide for </w:t>
      </w:r>
      <w:r w:rsidRPr="00300AB2">
        <w:t xml:space="preserve">all </w:t>
      </w:r>
      <w:r>
        <w:t xml:space="preserve">possible land uses. A benefit of TNDs is that they can accommodate </w:t>
      </w:r>
      <w:r w:rsidRPr="007E54FF">
        <w:t>many of these land uses (various res</w:t>
      </w:r>
      <w:r w:rsidRPr="007E54FF">
        <w:t>i</w:t>
      </w:r>
      <w:r w:rsidRPr="007E54FF">
        <w:t xml:space="preserve">dential types, retail, commercial, and even certain </w:t>
      </w:r>
      <w:r w:rsidRPr="007E54FF">
        <w:lastRenderedPageBreak/>
        <w:t>types of light industrial)</w:t>
      </w:r>
      <w:r>
        <w:t xml:space="preserve"> within a single defined growth area, or portion of a growth area.</w:t>
      </w:r>
    </w:p>
    <w:p w14:paraId="3A7946B0" w14:textId="77777777" w:rsidR="00264DE3" w:rsidRDefault="00264DE3" w:rsidP="00264DE3">
      <w:pPr>
        <w:pStyle w:val="BodyText"/>
      </w:pPr>
      <w:r>
        <w:t>While Pennsylvania law permits TNDs, it does not require them. Many zoning and subdivision ordinan</w:t>
      </w:r>
      <w:r>
        <w:t>c</w:t>
      </w:r>
      <w:r>
        <w:t>es ignore the option of TNDs and instead require large lots, wide streets, and separated types and densities of land use across the municipality. This situation is e</w:t>
      </w:r>
      <w:r>
        <w:t>n</w:t>
      </w:r>
      <w:r>
        <w:t>couraged by decades of practice.</w:t>
      </w:r>
    </w:p>
    <w:p w14:paraId="708B9B6E" w14:textId="41C5E27F" w:rsidR="004F538F" w:rsidRPr="005E792D" w:rsidRDefault="004F538F" w:rsidP="00B4401C">
      <w:pPr>
        <w:pStyle w:val="Heading1"/>
      </w:pPr>
      <w:bookmarkStart w:id="24" w:name="_Toc485999062"/>
      <w:r w:rsidRPr="005E792D">
        <w:t xml:space="preserve">Resources at </w:t>
      </w:r>
      <w:r w:rsidRPr="00B4401C">
        <w:t>ConservationTools</w:t>
      </w:r>
      <w:r w:rsidRPr="005E792D">
        <w:t>.org</w:t>
      </w:r>
      <w:bookmarkEnd w:id="19"/>
      <w:bookmarkEnd w:id="20"/>
      <w:bookmarkEnd w:id="21"/>
      <w:bookmarkEnd w:id="22"/>
      <w:bookmarkEnd w:id="23"/>
      <w:bookmarkEnd w:id="24"/>
    </w:p>
    <w:p w14:paraId="79780047" w14:textId="77777777" w:rsidR="00B41BC8" w:rsidRDefault="007353B0" w:rsidP="00E466A7">
      <w:pPr>
        <w:pStyle w:val="BodyText"/>
      </w:pPr>
      <w:r>
        <w:t xml:space="preserve">To find experts and </w:t>
      </w:r>
      <w:r w:rsidR="00256FAA">
        <w:t>other resources,</w:t>
      </w:r>
      <w:r w:rsidR="00353770">
        <w:t xml:space="preserve"> including TND ordinances used in Pennsylvania,</w:t>
      </w:r>
      <w:r w:rsidR="00256FAA">
        <w:t xml:space="preserve"> see the right</w:t>
      </w:r>
      <w:r>
        <w:t xml:space="preserve"> column of the on-line edition at</w:t>
      </w:r>
      <w:r w:rsidR="00256FAA">
        <w:t xml:space="preserve"> </w:t>
      </w:r>
    </w:p>
    <w:p w14:paraId="20124046" w14:textId="7D53D655" w:rsidR="00C77D5E" w:rsidRDefault="00090FB3" w:rsidP="00E466A7">
      <w:pPr>
        <w:pStyle w:val="BodyText"/>
      </w:pPr>
      <w:hyperlink r:id="rId28" w:history="1">
        <w:r w:rsidR="006B31CC" w:rsidRPr="00567003">
          <w:rPr>
            <w:rStyle w:val="Hyperlink"/>
          </w:rPr>
          <w:t>http://</w:t>
        </w:r>
        <w:r w:rsidR="00567003" w:rsidRPr="00567003">
          <w:rPr>
            <w:rStyle w:val="Hyperlink"/>
          </w:rPr>
          <w:t>conservationtools.org/guides/46</w:t>
        </w:r>
      </w:hyperlink>
      <w:r w:rsidR="006B31CC">
        <w:t>.</w:t>
      </w:r>
    </w:p>
    <w:p w14:paraId="28B15E32" w14:textId="1E9E7089" w:rsidR="00C77D5E" w:rsidRDefault="00C77D5E" w:rsidP="0001695A"/>
    <w:p w14:paraId="2F9859D3" w14:textId="2A360B13" w:rsidR="005F7819" w:rsidRDefault="0041715E" w:rsidP="00404B8B">
      <w:pPr>
        <w:jc w:val="center"/>
      </w:pPr>
      <w:r>
        <w:t>***</w:t>
      </w:r>
    </w:p>
    <w:p w14:paraId="4C58AEBE" w14:textId="617B95C0" w:rsidR="00256FAA" w:rsidRPr="00C3358A" w:rsidRDefault="0041715E">
      <w:pPr>
        <w:pStyle w:val="Heading3"/>
      </w:pPr>
      <w:r>
        <w:br w:type="column"/>
      </w:r>
      <w:r w:rsidR="00256FAA" w:rsidRPr="00C3358A">
        <w:lastRenderedPageBreak/>
        <w:t>Submit Comments</w:t>
      </w:r>
    </w:p>
    <w:p w14:paraId="1ADF2E7F" w14:textId="77777777" w:rsidR="00093A91" w:rsidRDefault="00093A91" w:rsidP="00093A91">
      <w:pPr>
        <w:pStyle w:val="BodyText"/>
      </w:pPr>
      <w:r>
        <w:t>Help improve the next edition of this guide. Email your suggestions to</w:t>
      </w:r>
      <w:r w:rsidRPr="003837E7">
        <w:t xml:space="preserve"> the Pennsylvania Land Trust A</w:t>
      </w:r>
      <w:r w:rsidRPr="003837E7">
        <w:t>s</w:t>
      </w:r>
      <w:r w:rsidRPr="003837E7">
        <w:t>sociation</w:t>
      </w:r>
      <w:r>
        <w:t xml:space="preserve"> at </w:t>
      </w:r>
      <w:hyperlink r:id="rId29" w:history="1">
        <w:r w:rsidRPr="008E3020">
          <w:rPr>
            <w:rStyle w:val="Hyperlink"/>
          </w:rPr>
          <w:t>aloza@conserveland.org</w:t>
        </w:r>
      </w:hyperlink>
      <w:r>
        <w:t xml:space="preserve">. </w:t>
      </w:r>
      <w:r w:rsidRPr="003837E7">
        <w:t>Thank you.</w:t>
      </w:r>
    </w:p>
    <w:p w14:paraId="5D9882C2" w14:textId="77777777" w:rsidR="005F7819" w:rsidRPr="0041715E" w:rsidRDefault="005F7819" w:rsidP="0041715E">
      <w:pPr>
        <w:pStyle w:val="BodyText"/>
      </w:pPr>
    </w:p>
    <w:p w14:paraId="5611C7DD" w14:textId="5E14C363" w:rsidR="00256FAA" w:rsidRPr="00C3358A" w:rsidRDefault="00256FAA" w:rsidP="00567003">
      <w:pPr>
        <w:pStyle w:val="Heading3"/>
      </w:pPr>
      <w:r w:rsidRPr="00AD2E58">
        <w:t>Acknowledgements</w:t>
      </w:r>
    </w:p>
    <w:p w14:paraId="54627AA3" w14:textId="7F6FE699" w:rsidR="00AF4B65" w:rsidRPr="00192441" w:rsidRDefault="00AF4B65" w:rsidP="00AF4B65">
      <w:pPr>
        <w:pStyle w:val="BodyText"/>
      </w:pPr>
      <w:r w:rsidRPr="00AF4B65">
        <w:t xml:space="preserve">John </w:t>
      </w:r>
      <w:proofErr w:type="spellStart"/>
      <w:r w:rsidRPr="00AF4B65">
        <w:t>Theilacker</w:t>
      </w:r>
      <w:proofErr w:type="spellEnd"/>
      <w:r w:rsidRPr="00AF4B65">
        <w:t xml:space="preserve">, AICP, and Tara Tracy, CPSS, </w:t>
      </w:r>
      <w:r w:rsidR="002E7CF6">
        <w:t>of</w:t>
      </w:r>
      <w:r w:rsidRPr="00AF4B65">
        <w:t xml:space="preserve"> Brandywine Conservancy were the primary authors of the </w:t>
      </w:r>
      <w:r w:rsidR="002E7CF6">
        <w:t xml:space="preserve">guide’s </w:t>
      </w:r>
      <w:r w:rsidRPr="00AF4B65">
        <w:t>first edition</w:t>
      </w:r>
      <w:r w:rsidR="002810DD">
        <w:t xml:space="preserve"> (2009)</w:t>
      </w:r>
      <w:r w:rsidRPr="00AF4B65">
        <w:t xml:space="preserve">. </w:t>
      </w:r>
      <w:hyperlink r:id="rId30" w:history="1">
        <w:r w:rsidRPr="00AF4B65">
          <w:rPr>
            <w:rStyle w:val="Hyperlink"/>
          </w:rPr>
          <w:t xml:space="preserve">Nate </w:t>
        </w:r>
        <w:proofErr w:type="spellStart"/>
        <w:r w:rsidRPr="00AF4B65">
          <w:rPr>
            <w:rStyle w:val="Hyperlink"/>
          </w:rPr>
          <w:t>Lotze</w:t>
        </w:r>
        <w:proofErr w:type="spellEnd"/>
      </w:hyperlink>
      <w:r w:rsidRPr="00AF4B65">
        <w:t xml:space="preserve"> </w:t>
      </w:r>
      <w:r w:rsidR="00036386">
        <w:t>revised and expanded content for</w:t>
      </w:r>
      <w:r w:rsidRPr="00AF4B65">
        <w:t xml:space="preserve"> the second edition</w:t>
      </w:r>
      <w:r w:rsidR="002810DD">
        <w:t xml:space="preserve"> (2017)</w:t>
      </w:r>
      <w:r w:rsidRPr="00AF4B65">
        <w:t>.</w:t>
      </w:r>
      <w:r w:rsidR="00C77D5E">
        <w:t xml:space="preserve"> </w:t>
      </w:r>
      <w:r w:rsidR="0041715E">
        <w:t xml:space="preserve">John </w:t>
      </w:r>
      <w:proofErr w:type="spellStart"/>
      <w:r w:rsidR="0041715E">
        <w:t>Theilacker</w:t>
      </w:r>
      <w:proofErr w:type="spellEnd"/>
      <w:r w:rsidR="0041715E">
        <w:t xml:space="preserve"> and </w:t>
      </w:r>
      <w:r w:rsidR="00C77D5E">
        <w:t>John Snook</w:t>
      </w:r>
      <w:r w:rsidR="0041715E">
        <w:t>, also</w:t>
      </w:r>
      <w:r w:rsidR="002810DD">
        <w:t xml:space="preserve"> of </w:t>
      </w:r>
      <w:r w:rsidR="00C77D5E">
        <w:t>Brandywine Co</w:t>
      </w:r>
      <w:r w:rsidR="00C77D5E">
        <w:t>n</w:t>
      </w:r>
      <w:r w:rsidR="00C77D5E">
        <w:t>servancy</w:t>
      </w:r>
      <w:r w:rsidR="0041715E">
        <w:t>,</w:t>
      </w:r>
      <w:r w:rsidR="00976B69">
        <w:t xml:space="preserve"> </w:t>
      </w:r>
      <w:r w:rsidR="00C77D5E">
        <w:t xml:space="preserve">reviewed the second edition </w:t>
      </w:r>
      <w:r w:rsidR="002810DD">
        <w:t>draft</w:t>
      </w:r>
      <w:r w:rsidR="00404B8B">
        <w:t>,</w:t>
      </w:r>
      <w:r w:rsidR="0041715E">
        <w:t xml:space="preserve"> with Mr. </w:t>
      </w:r>
      <w:proofErr w:type="spellStart"/>
      <w:r w:rsidR="0041715E">
        <w:t>Theilacker</w:t>
      </w:r>
      <w:proofErr w:type="spellEnd"/>
      <w:r w:rsidR="0041715E">
        <w:t xml:space="preserve"> providing useful refinements and </w:t>
      </w:r>
      <w:r w:rsidR="00976B69">
        <w:t xml:space="preserve">Mr. Snook </w:t>
      </w:r>
      <w:r w:rsidR="003C5ED1">
        <w:t>contribut</w:t>
      </w:r>
      <w:r w:rsidR="0041715E">
        <w:t>ing</w:t>
      </w:r>
      <w:r w:rsidR="003C5ED1">
        <w:t xml:space="preserve"> to the section “</w:t>
      </w:r>
      <w:r w:rsidR="003C0334">
        <w:t>Development Pa</w:t>
      </w:r>
      <w:r w:rsidR="003C0334">
        <w:t>t</w:t>
      </w:r>
      <w:r w:rsidR="003C0334">
        <w:t>terns and Critical Mass</w:t>
      </w:r>
      <w:r w:rsidR="0041715E">
        <w:t>.</w:t>
      </w:r>
      <w:r w:rsidR="003C5ED1">
        <w:t>”</w:t>
      </w:r>
    </w:p>
    <w:p w14:paraId="1DADBB70" w14:textId="473852D0" w:rsidR="0041715E" w:rsidRDefault="00401471" w:rsidP="009C03CE">
      <w:pPr>
        <w:pStyle w:val="BodyText"/>
      </w:pPr>
      <w:r w:rsidRPr="005E792D">
        <w:t>The Pennsylvania Land Trust Association published this guide with support from the William Penn Fou</w:t>
      </w:r>
      <w:r w:rsidRPr="005E792D">
        <w:t>n</w:t>
      </w:r>
      <w:r w:rsidRPr="005E792D">
        <w:t xml:space="preserve">dation and the </w:t>
      </w:r>
      <w:r w:rsidR="00381B7B" w:rsidRPr="005E792D">
        <w:t xml:space="preserve">Community Conservation Partnerships Program, Environmental Stewardship Fund, under the administration of the </w:t>
      </w:r>
      <w:r w:rsidRPr="005E792D">
        <w:t>Pennsylvania Department of Conservation and Natural Resources, Bureau of Re</w:t>
      </w:r>
      <w:r w:rsidRPr="005E792D">
        <w:t>c</w:t>
      </w:r>
      <w:r w:rsidRPr="005E792D">
        <w:t>reation and Conservation.</w:t>
      </w:r>
    </w:p>
    <w:p w14:paraId="041CABF3" w14:textId="3839572B" w:rsidR="005F7819" w:rsidRPr="005E792D" w:rsidRDefault="005F7819" w:rsidP="009C03CE">
      <w:pPr>
        <w:pStyle w:val="BodyText"/>
      </w:pPr>
    </w:p>
    <w:p w14:paraId="51678013" w14:textId="0C530862" w:rsidR="00061B07" w:rsidRPr="005E792D" w:rsidRDefault="00061B07" w:rsidP="002C154F">
      <w:pPr>
        <w:pStyle w:val="Disclaimer"/>
      </w:pPr>
      <w:r w:rsidRPr="005E792D">
        <w:t>Nothing contained in this or any other document available at Co</w:t>
      </w:r>
      <w:r w:rsidRPr="005E792D">
        <w:t>n</w:t>
      </w:r>
      <w:r w:rsidRPr="005E792D">
        <w:t>servationTools.org is intended to be relied upon as legal advice. The authors disclaim any attorney-client relationship with anyone to whom this document is furnished. Nothing contained in this doc</w:t>
      </w:r>
      <w:r w:rsidRPr="005E792D">
        <w:t>u</w:t>
      </w:r>
      <w:r w:rsidRPr="005E792D">
        <w:t>ment is intended to be used, and cannot be used, for the purpose of (</w:t>
      </w:r>
      <w:proofErr w:type="spellStart"/>
      <w:r w:rsidRPr="005E792D">
        <w:t>i</w:t>
      </w:r>
      <w:proofErr w:type="spellEnd"/>
      <w:r w:rsidRPr="005E792D">
        <w:t>) avoiding penalties under the Internal Revenue Code or (ii) pr</w:t>
      </w:r>
      <w:r w:rsidRPr="005E792D">
        <w:t>o</w:t>
      </w:r>
      <w:r w:rsidRPr="005E792D">
        <w:t>moting, marketing or recommending to any person any transaction or matter addressed in this document.</w:t>
      </w:r>
    </w:p>
    <w:p w14:paraId="578E02C0" w14:textId="7C52D41A" w:rsidR="005C3ED6" w:rsidRDefault="005C3ED6" w:rsidP="00C3358A">
      <w:pPr>
        <w:pStyle w:val="BodyText"/>
      </w:pPr>
    </w:p>
    <w:p w14:paraId="3FEB1C4F" w14:textId="5B96262D" w:rsidR="00C3358A" w:rsidRPr="001C5873" w:rsidRDefault="00C3358A" w:rsidP="00C3358A">
      <w:pPr>
        <w:pStyle w:val="BodyText"/>
      </w:pPr>
      <w:r w:rsidRPr="001C5873">
        <w:t xml:space="preserve">© </w:t>
      </w:r>
      <w:r w:rsidRPr="007B708C">
        <w:t>2017</w:t>
      </w:r>
      <w:r w:rsidR="004304DC">
        <w:t>, 2009</w:t>
      </w:r>
      <w:r>
        <w:t xml:space="preserve"> </w:t>
      </w:r>
      <w:r w:rsidRPr="001C5873">
        <w:t>Pennsylvania Land Trust Association</w:t>
      </w:r>
    </w:p>
    <w:p w14:paraId="59CCD57E" w14:textId="2CFC73DB" w:rsidR="00560FB8" w:rsidRDefault="00C3358A" w:rsidP="0041715E">
      <w:pPr>
        <w:pStyle w:val="BodyText"/>
      </w:pPr>
      <w:r w:rsidRPr="005268DC">
        <w:t>Text may be excerpted and reproduced with acknow</w:t>
      </w:r>
      <w:r w:rsidRPr="005268DC">
        <w:t>l</w:t>
      </w:r>
      <w:r w:rsidRPr="005268DC">
        <w:t xml:space="preserve">edgement of </w:t>
      </w:r>
      <w:hyperlink r:id="rId31" w:history="1">
        <w:r w:rsidRPr="007B708C">
          <w:rPr>
            <w:rStyle w:val="Hyperlink"/>
          </w:rPr>
          <w:t>ConservationTools.org</w:t>
        </w:r>
      </w:hyperlink>
      <w:r w:rsidRPr="005268DC">
        <w:t xml:space="preserve"> </w:t>
      </w:r>
      <w:r w:rsidRPr="007B708C">
        <w:t>and the Pennsylvania Land Trust Association.</w:t>
      </w:r>
    </w:p>
    <w:p w14:paraId="6BF56CED" w14:textId="77777777" w:rsidR="0041715E" w:rsidRPr="005E792D" w:rsidRDefault="0041715E" w:rsidP="0041715E">
      <w:pPr>
        <w:pStyle w:val="BodyText"/>
      </w:pPr>
    </w:p>
    <w:sectPr w:rsidR="0041715E" w:rsidRPr="005E792D" w:rsidSect="009F76BC">
      <w:headerReference w:type="even" r:id="rId32"/>
      <w:headerReference w:type="default" r:id="rId33"/>
      <w:footerReference w:type="default" r:id="rId34"/>
      <w:headerReference w:type="first" r:id="rId35"/>
      <w:footerReference w:type="first" r:id="rId36"/>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7A4A" w14:textId="77777777" w:rsidR="00D21172" w:rsidRDefault="00D21172" w:rsidP="00421A32">
      <w:r>
        <w:separator/>
      </w:r>
    </w:p>
  </w:endnote>
  <w:endnote w:type="continuationSeparator" w:id="0">
    <w:p w14:paraId="7C885108" w14:textId="77777777" w:rsidR="00D21172" w:rsidRDefault="00D21172" w:rsidP="00421A32">
      <w:r>
        <w:continuationSeparator/>
      </w:r>
    </w:p>
  </w:endnote>
  <w:endnote w:id="1">
    <w:p w14:paraId="01816A16" w14:textId="1280B226" w:rsidR="001B61A0" w:rsidRPr="001B61A0" w:rsidRDefault="001B61A0" w:rsidP="001B61A0">
      <w:pPr>
        <w:pStyle w:val="EndnoteText"/>
      </w:pPr>
      <w:r>
        <w:rPr>
          <w:rStyle w:val="EndnoteReference"/>
        </w:rPr>
        <w:endnoteRef/>
      </w:r>
      <w:r w:rsidRPr="001B61A0">
        <w:t xml:space="preserve"> TDR programs employ zoning ordinances that give lan</w:t>
      </w:r>
      <w:r w:rsidRPr="001B61A0">
        <w:t>d</w:t>
      </w:r>
      <w:r w:rsidRPr="001B61A0">
        <w:t>owners within valuable agricultural, natural, and cultural resource areas the option to legally sever the development rights from their land and sell these rights to another lan</w:t>
      </w:r>
      <w:r w:rsidRPr="001B61A0">
        <w:t>d</w:t>
      </w:r>
      <w:r w:rsidRPr="001B61A0">
        <w:t xml:space="preserve">owner or a real estate developer for use at a location appropriate for higher densities of development. </w:t>
      </w:r>
    </w:p>
    <w:p w14:paraId="7665DBB8" w14:textId="0A23D0AF" w:rsidR="001B61A0" w:rsidRDefault="001B61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AF94" w14:textId="47505A34" w:rsidR="00830C00" w:rsidRPr="00A94518" w:rsidRDefault="00830C00"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9243" w14:textId="6029EE57" w:rsidR="00830C00" w:rsidRPr="009F76BC" w:rsidRDefault="00830C00">
    <w:pPr>
      <w:pStyle w:val="Footer"/>
      <w:rPr>
        <w:sz w:val="16"/>
        <w:szCs w:val="16"/>
      </w:rPr>
    </w:pPr>
    <w:r w:rsidRPr="009F76BC">
      <w:rPr>
        <w:rFonts w:cs="Gill Sans"/>
        <w:sz w:val="16"/>
        <w:szCs w:val="16"/>
      </w:rPr>
      <w:t>L</w:t>
    </w:r>
    <w:r>
      <w:rPr>
        <w:rFonts w:cs="Gill Sans"/>
        <w:sz w:val="16"/>
        <w:szCs w:val="16"/>
      </w:rPr>
      <w:t xml:space="preserve">ast updated on </w:t>
    </w:r>
    <w:r w:rsidR="005F7819">
      <w:rPr>
        <w:rFonts w:cs="Gill Sans"/>
        <w:sz w:val="16"/>
        <w:szCs w:val="16"/>
      </w:rPr>
      <w:t>6</w:t>
    </w:r>
    <w:r w:rsidR="00A066C0">
      <w:rPr>
        <w:rFonts w:cs="Gill Sans"/>
        <w:sz w:val="16"/>
        <w:szCs w:val="16"/>
      </w:rPr>
      <w:t>/</w:t>
    </w:r>
    <w:r w:rsidR="00BB1567">
      <w:rPr>
        <w:rFonts w:cs="Gill Sans"/>
        <w:sz w:val="16"/>
        <w:szCs w:val="16"/>
      </w:rPr>
      <w:t>28</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C35D6" w14:textId="77777777" w:rsidR="00D21172" w:rsidRDefault="00D21172" w:rsidP="00421A32">
      <w:r>
        <w:separator/>
      </w:r>
    </w:p>
  </w:footnote>
  <w:footnote w:type="continuationSeparator" w:id="0">
    <w:p w14:paraId="06A7A447" w14:textId="77777777" w:rsidR="00D21172" w:rsidRDefault="00D21172"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0CC7" w14:textId="1D4DAC2F" w:rsidR="00830C00" w:rsidRPr="00971933" w:rsidRDefault="00830C00"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090FB3">
      <w:rPr>
        <w:rStyle w:val="PageNumber"/>
        <w:noProof/>
      </w:rPr>
      <w:t>2</w:t>
    </w:r>
    <w:r w:rsidRPr="00E73049">
      <w:rPr>
        <w:rStyle w:val="PageNumber"/>
      </w:rPr>
      <w:fldChar w:fldCharType="end"/>
    </w:r>
    <w:r>
      <w:rPr>
        <w:rStyle w:val="PageNumber"/>
      </w:rPr>
      <w:tab/>
    </w:r>
    <w:r w:rsidR="00AF4B65">
      <w:t>Traditional Neighborhood Development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CDF2" w14:textId="35EADAAE" w:rsidR="00830C00" w:rsidRPr="00121AF6" w:rsidRDefault="00830C00"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7A81C7CD">
          <wp:simplePos x="0" y="0"/>
          <wp:positionH relativeFrom="page">
            <wp:posOffset>368300</wp:posOffset>
          </wp:positionH>
          <wp:positionV relativeFrom="page">
            <wp:posOffset>279400</wp:posOffset>
          </wp:positionV>
          <wp:extent cx="1060704" cy="411480"/>
          <wp:effectExtent l="0" t="0" r="6350" b="0"/>
          <wp:wrapNone/>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6070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090FB3">
      <w:rPr>
        <w:rStyle w:val="PageNumber"/>
        <w:noProof/>
      </w:rPr>
      <w:t>5</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0E25" w14:textId="6829ADF8" w:rsidR="00830C00" w:rsidRDefault="00830C00" w:rsidP="00E77051">
    <w:pPr>
      <w:pStyle w:val="Title"/>
    </w:pPr>
    <w:r w:rsidRPr="009A62DC">
      <w:rPr>
        <w:noProof/>
      </w:rPr>
      <w:drawing>
        <wp:anchor distT="0" distB="0" distL="114300" distR="114300" simplePos="0" relativeHeight="251658752"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B741A8">
      <w:t>Traditional Neighborhood Development</w:t>
    </w:r>
  </w:p>
  <w:p w14:paraId="366A02D7" w14:textId="58990381" w:rsidR="00830C00" w:rsidRPr="00B80F42" w:rsidRDefault="0070023F" w:rsidP="00C2281E">
    <w:pPr>
      <w:pStyle w:val="Blurb"/>
    </w:pPr>
    <w:r>
      <w:t>Tradi</w:t>
    </w:r>
    <w:r w:rsidR="00AF4B65">
      <w:t>tional Neighborhood Development create</w:t>
    </w:r>
    <w:r w:rsidR="00F431E8">
      <w:t xml:space="preserve">s compact, mixed-use, </w:t>
    </w:r>
    <w:r w:rsidR="00F431E8" w:rsidRPr="00F431E8">
      <w:t>non-automobile</w:t>
    </w:r>
    <w:r w:rsidR="007A28C3">
      <w:t>-</w:t>
    </w:r>
    <w:r w:rsidR="00F431E8" w:rsidRPr="00F431E8">
      <w:t xml:space="preserve"> dependent </w:t>
    </w:r>
    <w:r w:rsidR="00F431E8">
      <w:t>n</w:t>
    </w:r>
    <w:r w:rsidR="00F25B8F">
      <w:t>eighborhoods and communities.</w:t>
    </w:r>
    <w:r w:rsidR="00C2096C">
      <w:t xml:space="preserve"> It </w:t>
    </w:r>
    <w:r w:rsidR="0027652D">
      <w:t xml:space="preserve">serves the needs of people and </w:t>
    </w:r>
    <w:r w:rsidR="00C2096C">
      <w:t xml:space="preserve">accommodates </w:t>
    </w:r>
    <w:r w:rsidR="009E68C8">
      <w:t>growth with minimal waste of land.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8C7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0A2D6"/>
    <w:lvl w:ilvl="0">
      <w:start w:val="1"/>
      <w:numFmt w:val="decimal"/>
      <w:lvlText w:val="%1."/>
      <w:lvlJc w:val="left"/>
      <w:pPr>
        <w:tabs>
          <w:tab w:val="num" w:pos="1800"/>
        </w:tabs>
        <w:ind w:left="1800" w:hanging="360"/>
      </w:pPr>
    </w:lvl>
  </w:abstractNum>
  <w:abstractNum w:abstractNumId="2">
    <w:nsid w:val="FFFFFF7D"/>
    <w:multiLevelType w:val="singleLevel"/>
    <w:tmpl w:val="936E6BD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CDE4BC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72E41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C065CA"/>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750816C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0">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3">
    <w:nsid w:val="26791F3E"/>
    <w:multiLevelType w:val="hybridMultilevel"/>
    <w:tmpl w:val="6DE2F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5">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6">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7">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B2368"/>
    <w:multiLevelType w:val="hybridMultilevel"/>
    <w:tmpl w:val="DECE1E64"/>
    <w:lvl w:ilvl="0" w:tplc="DA78B620">
      <w:start w:val="1"/>
      <w:numFmt w:val="bullet"/>
      <w:lvlText w:val="●"/>
      <w:lvlJc w:val="left"/>
      <w:pPr>
        <w:tabs>
          <w:tab w:val="num" w:pos="360"/>
        </w:tabs>
        <w:ind w:left="36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44710"/>
    <w:multiLevelType w:val="hybridMultilevel"/>
    <w:tmpl w:val="F49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24">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26">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7"/>
  </w:num>
  <w:num w:numId="2">
    <w:abstractNumId w:val="26"/>
  </w:num>
  <w:num w:numId="3">
    <w:abstractNumId w:val="8"/>
  </w:num>
  <w:num w:numId="4">
    <w:abstractNumId w:val="6"/>
  </w:num>
  <w:num w:numId="5">
    <w:abstractNumId w:val="19"/>
  </w:num>
  <w:num w:numId="6">
    <w:abstractNumId w:val="11"/>
  </w:num>
  <w:num w:numId="7">
    <w:abstractNumId w:val="20"/>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2"/>
  </w:num>
  <w:num w:numId="16">
    <w:abstractNumId w:val="12"/>
  </w:num>
  <w:num w:numId="17">
    <w:abstractNumId w:val="15"/>
  </w:num>
  <w:num w:numId="18">
    <w:abstractNumId w:val="25"/>
  </w:num>
  <w:num w:numId="19">
    <w:abstractNumId w:val="9"/>
  </w:num>
  <w:num w:numId="20">
    <w:abstractNumId w:val="23"/>
  </w:num>
  <w:num w:numId="21">
    <w:abstractNumId w:val="14"/>
  </w:num>
  <w:num w:numId="22">
    <w:abstractNumId w:val="16"/>
  </w:num>
  <w:num w:numId="23">
    <w:abstractNumId w:val="10"/>
  </w:num>
  <w:num w:numId="24">
    <w:abstractNumId w:val="24"/>
  </w:num>
  <w:num w:numId="25">
    <w:abstractNumId w:val="18"/>
  </w:num>
  <w:num w:numId="26">
    <w:abstractNumId w:val="13"/>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3220"/>
    <w:rsid w:val="0000548D"/>
    <w:rsid w:val="0001695A"/>
    <w:rsid w:val="00026219"/>
    <w:rsid w:val="0003407C"/>
    <w:rsid w:val="00036386"/>
    <w:rsid w:val="00037095"/>
    <w:rsid w:val="00037E9B"/>
    <w:rsid w:val="00040473"/>
    <w:rsid w:val="00045262"/>
    <w:rsid w:val="00046629"/>
    <w:rsid w:val="000500DA"/>
    <w:rsid w:val="00053144"/>
    <w:rsid w:val="000556CC"/>
    <w:rsid w:val="000560E1"/>
    <w:rsid w:val="00061B07"/>
    <w:rsid w:val="000639E6"/>
    <w:rsid w:val="00065B8E"/>
    <w:rsid w:val="0007003F"/>
    <w:rsid w:val="0007178A"/>
    <w:rsid w:val="00071C91"/>
    <w:rsid w:val="000723DE"/>
    <w:rsid w:val="0007257B"/>
    <w:rsid w:val="00077A75"/>
    <w:rsid w:val="000805D4"/>
    <w:rsid w:val="000814AE"/>
    <w:rsid w:val="000826DA"/>
    <w:rsid w:val="000834AC"/>
    <w:rsid w:val="00084148"/>
    <w:rsid w:val="000849C4"/>
    <w:rsid w:val="00090AF5"/>
    <w:rsid w:val="00090FB3"/>
    <w:rsid w:val="00092672"/>
    <w:rsid w:val="000934F5"/>
    <w:rsid w:val="00093A91"/>
    <w:rsid w:val="00097E50"/>
    <w:rsid w:val="00097FB3"/>
    <w:rsid w:val="000A31C2"/>
    <w:rsid w:val="000A5E3C"/>
    <w:rsid w:val="000C0E40"/>
    <w:rsid w:val="000C1F55"/>
    <w:rsid w:val="000C2169"/>
    <w:rsid w:val="000C334B"/>
    <w:rsid w:val="000C3F79"/>
    <w:rsid w:val="000C61B0"/>
    <w:rsid w:val="000C654A"/>
    <w:rsid w:val="000C7395"/>
    <w:rsid w:val="000C7F9F"/>
    <w:rsid w:val="000D06C9"/>
    <w:rsid w:val="000D06E2"/>
    <w:rsid w:val="000D3BBB"/>
    <w:rsid w:val="000D570A"/>
    <w:rsid w:val="000D7D05"/>
    <w:rsid w:val="000E4DBB"/>
    <w:rsid w:val="000E6CED"/>
    <w:rsid w:val="000E6FD9"/>
    <w:rsid w:val="000F3062"/>
    <w:rsid w:val="000F371F"/>
    <w:rsid w:val="000F381C"/>
    <w:rsid w:val="000F578F"/>
    <w:rsid w:val="00100326"/>
    <w:rsid w:val="00100BFF"/>
    <w:rsid w:val="00102ACE"/>
    <w:rsid w:val="001035C9"/>
    <w:rsid w:val="00103D11"/>
    <w:rsid w:val="001042A6"/>
    <w:rsid w:val="00104BCC"/>
    <w:rsid w:val="0010587C"/>
    <w:rsid w:val="00107AAD"/>
    <w:rsid w:val="00110000"/>
    <w:rsid w:val="00110BF6"/>
    <w:rsid w:val="00112B2E"/>
    <w:rsid w:val="0011355A"/>
    <w:rsid w:val="00113942"/>
    <w:rsid w:val="001143CC"/>
    <w:rsid w:val="00114D20"/>
    <w:rsid w:val="001166D4"/>
    <w:rsid w:val="00117467"/>
    <w:rsid w:val="00120345"/>
    <w:rsid w:val="00121071"/>
    <w:rsid w:val="00121AA7"/>
    <w:rsid w:val="00121AF6"/>
    <w:rsid w:val="00123D57"/>
    <w:rsid w:val="0012422B"/>
    <w:rsid w:val="001242EA"/>
    <w:rsid w:val="00125149"/>
    <w:rsid w:val="0012730A"/>
    <w:rsid w:val="001279D7"/>
    <w:rsid w:val="00130C62"/>
    <w:rsid w:val="00131179"/>
    <w:rsid w:val="00132EF0"/>
    <w:rsid w:val="00133502"/>
    <w:rsid w:val="00134200"/>
    <w:rsid w:val="00135566"/>
    <w:rsid w:val="00140491"/>
    <w:rsid w:val="0014080C"/>
    <w:rsid w:val="00146C11"/>
    <w:rsid w:val="00147DE0"/>
    <w:rsid w:val="001517A5"/>
    <w:rsid w:val="00153F24"/>
    <w:rsid w:val="001611DC"/>
    <w:rsid w:val="00162014"/>
    <w:rsid w:val="0016299B"/>
    <w:rsid w:val="001642D4"/>
    <w:rsid w:val="0016645F"/>
    <w:rsid w:val="00166C28"/>
    <w:rsid w:val="0017009A"/>
    <w:rsid w:val="0017513A"/>
    <w:rsid w:val="00180BA8"/>
    <w:rsid w:val="00182E97"/>
    <w:rsid w:val="00182ECD"/>
    <w:rsid w:val="001877A2"/>
    <w:rsid w:val="0019023B"/>
    <w:rsid w:val="00191670"/>
    <w:rsid w:val="00192441"/>
    <w:rsid w:val="00195922"/>
    <w:rsid w:val="001A1D1E"/>
    <w:rsid w:val="001A3BFE"/>
    <w:rsid w:val="001A44B3"/>
    <w:rsid w:val="001A7EB6"/>
    <w:rsid w:val="001B234C"/>
    <w:rsid w:val="001B3086"/>
    <w:rsid w:val="001B3191"/>
    <w:rsid w:val="001B3266"/>
    <w:rsid w:val="001B611A"/>
    <w:rsid w:val="001B61A0"/>
    <w:rsid w:val="001C26DE"/>
    <w:rsid w:val="001C2A9B"/>
    <w:rsid w:val="001C4185"/>
    <w:rsid w:val="001C4325"/>
    <w:rsid w:val="001C445B"/>
    <w:rsid w:val="001C545F"/>
    <w:rsid w:val="001D37A2"/>
    <w:rsid w:val="001D7B49"/>
    <w:rsid w:val="001E0847"/>
    <w:rsid w:val="001E0B59"/>
    <w:rsid w:val="001E16F4"/>
    <w:rsid w:val="001E43B8"/>
    <w:rsid w:val="001E5DC7"/>
    <w:rsid w:val="001E7CD1"/>
    <w:rsid w:val="001F351E"/>
    <w:rsid w:val="001F3AEF"/>
    <w:rsid w:val="001F4223"/>
    <w:rsid w:val="001F44A6"/>
    <w:rsid w:val="001F61A1"/>
    <w:rsid w:val="00200BF8"/>
    <w:rsid w:val="00201CF8"/>
    <w:rsid w:val="00202826"/>
    <w:rsid w:val="00202F06"/>
    <w:rsid w:val="00205B38"/>
    <w:rsid w:val="00206059"/>
    <w:rsid w:val="00210F87"/>
    <w:rsid w:val="00211499"/>
    <w:rsid w:val="00213BDE"/>
    <w:rsid w:val="00213E46"/>
    <w:rsid w:val="00216D7B"/>
    <w:rsid w:val="00221D26"/>
    <w:rsid w:val="002224B5"/>
    <w:rsid w:val="00225B62"/>
    <w:rsid w:val="00226BE4"/>
    <w:rsid w:val="00227830"/>
    <w:rsid w:val="002309CD"/>
    <w:rsid w:val="002318E3"/>
    <w:rsid w:val="00231C52"/>
    <w:rsid w:val="0023491D"/>
    <w:rsid w:val="002357FD"/>
    <w:rsid w:val="00235D99"/>
    <w:rsid w:val="0024049E"/>
    <w:rsid w:val="00243159"/>
    <w:rsid w:val="002433AD"/>
    <w:rsid w:val="00245995"/>
    <w:rsid w:val="00245C0F"/>
    <w:rsid w:val="002460BB"/>
    <w:rsid w:val="00250010"/>
    <w:rsid w:val="00250E92"/>
    <w:rsid w:val="002522B9"/>
    <w:rsid w:val="002546A1"/>
    <w:rsid w:val="00255854"/>
    <w:rsid w:val="00256FAA"/>
    <w:rsid w:val="00257CA5"/>
    <w:rsid w:val="002613FF"/>
    <w:rsid w:val="002627BC"/>
    <w:rsid w:val="0026340D"/>
    <w:rsid w:val="002644D4"/>
    <w:rsid w:val="002648EA"/>
    <w:rsid w:val="00264DE3"/>
    <w:rsid w:val="0026612B"/>
    <w:rsid w:val="00272A21"/>
    <w:rsid w:val="00274BD3"/>
    <w:rsid w:val="0027652D"/>
    <w:rsid w:val="00276ADC"/>
    <w:rsid w:val="00277C92"/>
    <w:rsid w:val="002810DD"/>
    <w:rsid w:val="00281934"/>
    <w:rsid w:val="002823FB"/>
    <w:rsid w:val="00283A3E"/>
    <w:rsid w:val="00285AF2"/>
    <w:rsid w:val="002863C3"/>
    <w:rsid w:val="00286B8D"/>
    <w:rsid w:val="00286FCD"/>
    <w:rsid w:val="00287EA2"/>
    <w:rsid w:val="002908EC"/>
    <w:rsid w:val="0029763B"/>
    <w:rsid w:val="002A3EB1"/>
    <w:rsid w:val="002A4CF4"/>
    <w:rsid w:val="002A614F"/>
    <w:rsid w:val="002B0A81"/>
    <w:rsid w:val="002B24C6"/>
    <w:rsid w:val="002B34FC"/>
    <w:rsid w:val="002B5CDC"/>
    <w:rsid w:val="002B73FE"/>
    <w:rsid w:val="002B7B6A"/>
    <w:rsid w:val="002C154F"/>
    <w:rsid w:val="002C1671"/>
    <w:rsid w:val="002D3910"/>
    <w:rsid w:val="002D3AC9"/>
    <w:rsid w:val="002D707A"/>
    <w:rsid w:val="002E345D"/>
    <w:rsid w:val="002E3B58"/>
    <w:rsid w:val="002E4B00"/>
    <w:rsid w:val="002E7C71"/>
    <w:rsid w:val="002E7CF6"/>
    <w:rsid w:val="002F0B3A"/>
    <w:rsid w:val="002F1503"/>
    <w:rsid w:val="002F4CC1"/>
    <w:rsid w:val="002F7679"/>
    <w:rsid w:val="002F76D8"/>
    <w:rsid w:val="003036D2"/>
    <w:rsid w:val="00304305"/>
    <w:rsid w:val="0030514A"/>
    <w:rsid w:val="00306BB3"/>
    <w:rsid w:val="00312907"/>
    <w:rsid w:val="00316EFD"/>
    <w:rsid w:val="003220EE"/>
    <w:rsid w:val="00322B4F"/>
    <w:rsid w:val="00322C4D"/>
    <w:rsid w:val="00327FCD"/>
    <w:rsid w:val="00333C71"/>
    <w:rsid w:val="00340540"/>
    <w:rsid w:val="00341672"/>
    <w:rsid w:val="00343507"/>
    <w:rsid w:val="00343E27"/>
    <w:rsid w:val="00345C9F"/>
    <w:rsid w:val="00345F1E"/>
    <w:rsid w:val="00351000"/>
    <w:rsid w:val="00353770"/>
    <w:rsid w:val="003538B6"/>
    <w:rsid w:val="003549CE"/>
    <w:rsid w:val="00355D7E"/>
    <w:rsid w:val="00357CEB"/>
    <w:rsid w:val="00376646"/>
    <w:rsid w:val="00377254"/>
    <w:rsid w:val="00381B7B"/>
    <w:rsid w:val="003867C3"/>
    <w:rsid w:val="0039059F"/>
    <w:rsid w:val="0039085B"/>
    <w:rsid w:val="00390FB2"/>
    <w:rsid w:val="003946D0"/>
    <w:rsid w:val="0039533A"/>
    <w:rsid w:val="00395C40"/>
    <w:rsid w:val="00396B94"/>
    <w:rsid w:val="003A4BE0"/>
    <w:rsid w:val="003A5502"/>
    <w:rsid w:val="003A6500"/>
    <w:rsid w:val="003B23A9"/>
    <w:rsid w:val="003B618F"/>
    <w:rsid w:val="003B6953"/>
    <w:rsid w:val="003C0334"/>
    <w:rsid w:val="003C1DFB"/>
    <w:rsid w:val="003C2A09"/>
    <w:rsid w:val="003C3DD9"/>
    <w:rsid w:val="003C4759"/>
    <w:rsid w:val="003C5ED1"/>
    <w:rsid w:val="003D1CDD"/>
    <w:rsid w:val="003D4651"/>
    <w:rsid w:val="003D6817"/>
    <w:rsid w:val="003D6A77"/>
    <w:rsid w:val="003E30CD"/>
    <w:rsid w:val="003E3592"/>
    <w:rsid w:val="003E401D"/>
    <w:rsid w:val="003E532C"/>
    <w:rsid w:val="003E68AE"/>
    <w:rsid w:val="003F737D"/>
    <w:rsid w:val="00400754"/>
    <w:rsid w:val="00401471"/>
    <w:rsid w:val="004018BE"/>
    <w:rsid w:val="00402474"/>
    <w:rsid w:val="00402534"/>
    <w:rsid w:val="00404B8B"/>
    <w:rsid w:val="00405C01"/>
    <w:rsid w:val="00406D00"/>
    <w:rsid w:val="00410CA0"/>
    <w:rsid w:val="004134B6"/>
    <w:rsid w:val="00414AEE"/>
    <w:rsid w:val="00416644"/>
    <w:rsid w:val="0041715E"/>
    <w:rsid w:val="00421A32"/>
    <w:rsid w:val="00425999"/>
    <w:rsid w:val="00426198"/>
    <w:rsid w:val="0042777D"/>
    <w:rsid w:val="004304DC"/>
    <w:rsid w:val="00432E69"/>
    <w:rsid w:val="00444DEF"/>
    <w:rsid w:val="00450C67"/>
    <w:rsid w:val="004513B2"/>
    <w:rsid w:val="00451DBB"/>
    <w:rsid w:val="004573DA"/>
    <w:rsid w:val="00464E2A"/>
    <w:rsid w:val="00465135"/>
    <w:rsid w:val="00471A5E"/>
    <w:rsid w:val="00473B64"/>
    <w:rsid w:val="00476F7E"/>
    <w:rsid w:val="00480357"/>
    <w:rsid w:val="00481610"/>
    <w:rsid w:val="004831DE"/>
    <w:rsid w:val="00484303"/>
    <w:rsid w:val="00484FD1"/>
    <w:rsid w:val="004855FD"/>
    <w:rsid w:val="00490933"/>
    <w:rsid w:val="00490A20"/>
    <w:rsid w:val="004913FD"/>
    <w:rsid w:val="004917CD"/>
    <w:rsid w:val="0049418D"/>
    <w:rsid w:val="00496053"/>
    <w:rsid w:val="0049794D"/>
    <w:rsid w:val="004A0AAC"/>
    <w:rsid w:val="004A0F41"/>
    <w:rsid w:val="004A0F63"/>
    <w:rsid w:val="004A2E78"/>
    <w:rsid w:val="004A4B30"/>
    <w:rsid w:val="004A6721"/>
    <w:rsid w:val="004A6A1A"/>
    <w:rsid w:val="004B0534"/>
    <w:rsid w:val="004B1647"/>
    <w:rsid w:val="004B1965"/>
    <w:rsid w:val="004B2776"/>
    <w:rsid w:val="004B44FB"/>
    <w:rsid w:val="004C18EF"/>
    <w:rsid w:val="004C2BC3"/>
    <w:rsid w:val="004C4232"/>
    <w:rsid w:val="004C4C24"/>
    <w:rsid w:val="004C6601"/>
    <w:rsid w:val="004D09E7"/>
    <w:rsid w:val="004D109D"/>
    <w:rsid w:val="004D409C"/>
    <w:rsid w:val="004E0D4F"/>
    <w:rsid w:val="004E144C"/>
    <w:rsid w:val="004E1771"/>
    <w:rsid w:val="004E2B43"/>
    <w:rsid w:val="004E30E0"/>
    <w:rsid w:val="004E70E0"/>
    <w:rsid w:val="004F126D"/>
    <w:rsid w:val="004F17CF"/>
    <w:rsid w:val="004F27D7"/>
    <w:rsid w:val="004F538F"/>
    <w:rsid w:val="0050031A"/>
    <w:rsid w:val="005022BE"/>
    <w:rsid w:val="00502763"/>
    <w:rsid w:val="005046FD"/>
    <w:rsid w:val="00504B5E"/>
    <w:rsid w:val="00505D26"/>
    <w:rsid w:val="00507D9E"/>
    <w:rsid w:val="00510664"/>
    <w:rsid w:val="00510DE7"/>
    <w:rsid w:val="00511F8A"/>
    <w:rsid w:val="005128EE"/>
    <w:rsid w:val="00512BD7"/>
    <w:rsid w:val="0051343A"/>
    <w:rsid w:val="00515270"/>
    <w:rsid w:val="0052032A"/>
    <w:rsid w:val="00524B1F"/>
    <w:rsid w:val="00525446"/>
    <w:rsid w:val="00525EC2"/>
    <w:rsid w:val="005268DC"/>
    <w:rsid w:val="0053096E"/>
    <w:rsid w:val="005349F2"/>
    <w:rsid w:val="00537C98"/>
    <w:rsid w:val="0054016C"/>
    <w:rsid w:val="00541585"/>
    <w:rsid w:val="00541684"/>
    <w:rsid w:val="00542B94"/>
    <w:rsid w:val="00542E62"/>
    <w:rsid w:val="005436FD"/>
    <w:rsid w:val="00543E62"/>
    <w:rsid w:val="005443A1"/>
    <w:rsid w:val="00544E6A"/>
    <w:rsid w:val="00544F61"/>
    <w:rsid w:val="00550F05"/>
    <w:rsid w:val="0055625C"/>
    <w:rsid w:val="00557185"/>
    <w:rsid w:val="0056060E"/>
    <w:rsid w:val="005609EA"/>
    <w:rsid w:val="00560FB8"/>
    <w:rsid w:val="0056112C"/>
    <w:rsid w:val="00561735"/>
    <w:rsid w:val="0056300B"/>
    <w:rsid w:val="00563E4E"/>
    <w:rsid w:val="00565C81"/>
    <w:rsid w:val="00566AD8"/>
    <w:rsid w:val="00566B6A"/>
    <w:rsid w:val="00566DDA"/>
    <w:rsid w:val="00567003"/>
    <w:rsid w:val="00570139"/>
    <w:rsid w:val="00572AF5"/>
    <w:rsid w:val="00573FAC"/>
    <w:rsid w:val="005756D3"/>
    <w:rsid w:val="0057571D"/>
    <w:rsid w:val="00575DC9"/>
    <w:rsid w:val="005761E0"/>
    <w:rsid w:val="00576F4D"/>
    <w:rsid w:val="00577963"/>
    <w:rsid w:val="00581419"/>
    <w:rsid w:val="005816F0"/>
    <w:rsid w:val="00582F46"/>
    <w:rsid w:val="00582FF3"/>
    <w:rsid w:val="0058662B"/>
    <w:rsid w:val="005907F8"/>
    <w:rsid w:val="00593FBB"/>
    <w:rsid w:val="00594605"/>
    <w:rsid w:val="00595CE7"/>
    <w:rsid w:val="00596B61"/>
    <w:rsid w:val="005A1A98"/>
    <w:rsid w:val="005A3979"/>
    <w:rsid w:val="005A5A7E"/>
    <w:rsid w:val="005A7225"/>
    <w:rsid w:val="005A7A45"/>
    <w:rsid w:val="005B49F9"/>
    <w:rsid w:val="005B5139"/>
    <w:rsid w:val="005C3ED6"/>
    <w:rsid w:val="005C6007"/>
    <w:rsid w:val="005C70AF"/>
    <w:rsid w:val="005D2FF6"/>
    <w:rsid w:val="005D3C1D"/>
    <w:rsid w:val="005D3FB7"/>
    <w:rsid w:val="005D4D42"/>
    <w:rsid w:val="005D6B43"/>
    <w:rsid w:val="005E1FB4"/>
    <w:rsid w:val="005E23A0"/>
    <w:rsid w:val="005E62FA"/>
    <w:rsid w:val="005E78AD"/>
    <w:rsid w:val="005E792D"/>
    <w:rsid w:val="005F3FF5"/>
    <w:rsid w:val="005F6375"/>
    <w:rsid w:val="005F7819"/>
    <w:rsid w:val="006040D4"/>
    <w:rsid w:val="00604D0E"/>
    <w:rsid w:val="00612D3F"/>
    <w:rsid w:val="00613DD2"/>
    <w:rsid w:val="0061566E"/>
    <w:rsid w:val="00616858"/>
    <w:rsid w:val="00620184"/>
    <w:rsid w:val="00620349"/>
    <w:rsid w:val="00620A7A"/>
    <w:rsid w:val="00621824"/>
    <w:rsid w:val="006234E5"/>
    <w:rsid w:val="0062531D"/>
    <w:rsid w:val="0062677C"/>
    <w:rsid w:val="00626B0E"/>
    <w:rsid w:val="00634AC2"/>
    <w:rsid w:val="00641A97"/>
    <w:rsid w:val="00645562"/>
    <w:rsid w:val="00645F87"/>
    <w:rsid w:val="00646B0B"/>
    <w:rsid w:val="00647DDB"/>
    <w:rsid w:val="0065357F"/>
    <w:rsid w:val="00655A8E"/>
    <w:rsid w:val="006617B0"/>
    <w:rsid w:val="00664F0E"/>
    <w:rsid w:val="00665043"/>
    <w:rsid w:val="006651DF"/>
    <w:rsid w:val="00665C1F"/>
    <w:rsid w:val="00667450"/>
    <w:rsid w:val="00667A65"/>
    <w:rsid w:val="006708B5"/>
    <w:rsid w:val="006719BA"/>
    <w:rsid w:val="0067249C"/>
    <w:rsid w:val="00672C6C"/>
    <w:rsid w:val="00675594"/>
    <w:rsid w:val="00677AF2"/>
    <w:rsid w:val="00682B3D"/>
    <w:rsid w:val="006845B1"/>
    <w:rsid w:val="006861A8"/>
    <w:rsid w:val="00686419"/>
    <w:rsid w:val="00686B2D"/>
    <w:rsid w:val="006923EB"/>
    <w:rsid w:val="0069301B"/>
    <w:rsid w:val="006966C0"/>
    <w:rsid w:val="00696825"/>
    <w:rsid w:val="00697D30"/>
    <w:rsid w:val="006A26F8"/>
    <w:rsid w:val="006A271C"/>
    <w:rsid w:val="006A2A66"/>
    <w:rsid w:val="006A30D7"/>
    <w:rsid w:val="006A3966"/>
    <w:rsid w:val="006A50E7"/>
    <w:rsid w:val="006B04B3"/>
    <w:rsid w:val="006B31CC"/>
    <w:rsid w:val="006B41A8"/>
    <w:rsid w:val="006B5903"/>
    <w:rsid w:val="006B725C"/>
    <w:rsid w:val="006C5881"/>
    <w:rsid w:val="006C6F9B"/>
    <w:rsid w:val="006C7DA9"/>
    <w:rsid w:val="006D306F"/>
    <w:rsid w:val="006D3B2E"/>
    <w:rsid w:val="006D46C4"/>
    <w:rsid w:val="006D707C"/>
    <w:rsid w:val="006E12C1"/>
    <w:rsid w:val="006E1EF4"/>
    <w:rsid w:val="006E44CE"/>
    <w:rsid w:val="006E47C8"/>
    <w:rsid w:val="006E542F"/>
    <w:rsid w:val="006E71AA"/>
    <w:rsid w:val="006E732B"/>
    <w:rsid w:val="006F00B4"/>
    <w:rsid w:val="006F0D76"/>
    <w:rsid w:val="006F1987"/>
    <w:rsid w:val="0070023F"/>
    <w:rsid w:val="007037B9"/>
    <w:rsid w:val="00703F12"/>
    <w:rsid w:val="00704FC1"/>
    <w:rsid w:val="00707EE8"/>
    <w:rsid w:val="00710F17"/>
    <w:rsid w:val="0071272F"/>
    <w:rsid w:val="00712962"/>
    <w:rsid w:val="0071349E"/>
    <w:rsid w:val="00715276"/>
    <w:rsid w:val="0072069D"/>
    <w:rsid w:val="0073088A"/>
    <w:rsid w:val="00732E9F"/>
    <w:rsid w:val="00733EAB"/>
    <w:rsid w:val="007353B0"/>
    <w:rsid w:val="007353D5"/>
    <w:rsid w:val="00741D5C"/>
    <w:rsid w:val="00744A82"/>
    <w:rsid w:val="00746600"/>
    <w:rsid w:val="00746EC9"/>
    <w:rsid w:val="0075129D"/>
    <w:rsid w:val="007532C4"/>
    <w:rsid w:val="00755C22"/>
    <w:rsid w:val="0075733A"/>
    <w:rsid w:val="00761594"/>
    <w:rsid w:val="00762EA7"/>
    <w:rsid w:val="00766A41"/>
    <w:rsid w:val="00767F34"/>
    <w:rsid w:val="00767F38"/>
    <w:rsid w:val="00771B28"/>
    <w:rsid w:val="00777E22"/>
    <w:rsid w:val="00784F7F"/>
    <w:rsid w:val="007977E7"/>
    <w:rsid w:val="007A07B3"/>
    <w:rsid w:val="007A2093"/>
    <w:rsid w:val="007A28C3"/>
    <w:rsid w:val="007B4663"/>
    <w:rsid w:val="007B4816"/>
    <w:rsid w:val="007B54D5"/>
    <w:rsid w:val="007B69E6"/>
    <w:rsid w:val="007C1651"/>
    <w:rsid w:val="007C2092"/>
    <w:rsid w:val="007D28F8"/>
    <w:rsid w:val="007D2E03"/>
    <w:rsid w:val="007D43E4"/>
    <w:rsid w:val="007D4F03"/>
    <w:rsid w:val="007D794C"/>
    <w:rsid w:val="007E3067"/>
    <w:rsid w:val="007E3DCA"/>
    <w:rsid w:val="007E46C5"/>
    <w:rsid w:val="007E7FDD"/>
    <w:rsid w:val="007F069C"/>
    <w:rsid w:val="007F6295"/>
    <w:rsid w:val="007F65C0"/>
    <w:rsid w:val="007F7A21"/>
    <w:rsid w:val="00804ABA"/>
    <w:rsid w:val="008065D8"/>
    <w:rsid w:val="008136DA"/>
    <w:rsid w:val="008142A4"/>
    <w:rsid w:val="00816EF2"/>
    <w:rsid w:val="008177B9"/>
    <w:rsid w:val="0082012E"/>
    <w:rsid w:val="00821A4D"/>
    <w:rsid w:val="00821A89"/>
    <w:rsid w:val="00822E3E"/>
    <w:rsid w:val="008262EB"/>
    <w:rsid w:val="00830326"/>
    <w:rsid w:val="00830C00"/>
    <w:rsid w:val="00833F26"/>
    <w:rsid w:val="00834381"/>
    <w:rsid w:val="00836874"/>
    <w:rsid w:val="008375DF"/>
    <w:rsid w:val="008377B1"/>
    <w:rsid w:val="008414CF"/>
    <w:rsid w:val="00845651"/>
    <w:rsid w:val="008478E2"/>
    <w:rsid w:val="00850106"/>
    <w:rsid w:val="00850E8A"/>
    <w:rsid w:val="0085178B"/>
    <w:rsid w:val="0085342A"/>
    <w:rsid w:val="0085361F"/>
    <w:rsid w:val="008558BD"/>
    <w:rsid w:val="00856BEA"/>
    <w:rsid w:val="00860EBA"/>
    <w:rsid w:val="00860FB1"/>
    <w:rsid w:val="00862ADA"/>
    <w:rsid w:val="00863A57"/>
    <w:rsid w:val="00863BCC"/>
    <w:rsid w:val="0086449F"/>
    <w:rsid w:val="00864AEB"/>
    <w:rsid w:val="00866E6B"/>
    <w:rsid w:val="008715D9"/>
    <w:rsid w:val="00872B92"/>
    <w:rsid w:val="00873369"/>
    <w:rsid w:val="00873D1E"/>
    <w:rsid w:val="0087496E"/>
    <w:rsid w:val="008757F5"/>
    <w:rsid w:val="008800B8"/>
    <w:rsid w:val="00880606"/>
    <w:rsid w:val="0088065F"/>
    <w:rsid w:val="00882E68"/>
    <w:rsid w:val="00883453"/>
    <w:rsid w:val="00883731"/>
    <w:rsid w:val="008842B0"/>
    <w:rsid w:val="008843D7"/>
    <w:rsid w:val="00884C50"/>
    <w:rsid w:val="00886926"/>
    <w:rsid w:val="0089269E"/>
    <w:rsid w:val="00892716"/>
    <w:rsid w:val="00893502"/>
    <w:rsid w:val="0089369C"/>
    <w:rsid w:val="008955FD"/>
    <w:rsid w:val="008959E8"/>
    <w:rsid w:val="00897402"/>
    <w:rsid w:val="008977EE"/>
    <w:rsid w:val="008A15FD"/>
    <w:rsid w:val="008A20FD"/>
    <w:rsid w:val="008A597C"/>
    <w:rsid w:val="008A5C19"/>
    <w:rsid w:val="008A5EEF"/>
    <w:rsid w:val="008A658F"/>
    <w:rsid w:val="008B0F3E"/>
    <w:rsid w:val="008B5657"/>
    <w:rsid w:val="008B6543"/>
    <w:rsid w:val="008C273A"/>
    <w:rsid w:val="008C3DBB"/>
    <w:rsid w:val="008C4C04"/>
    <w:rsid w:val="008C5F0D"/>
    <w:rsid w:val="008C7B00"/>
    <w:rsid w:val="008D4350"/>
    <w:rsid w:val="008D6C9E"/>
    <w:rsid w:val="008D6CA1"/>
    <w:rsid w:val="008E008A"/>
    <w:rsid w:val="008E1099"/>
    <w:rsid w:val="008E2E11"/>
    <w:rsid w:val="008E5964"/>
    <w:rsid w:val="008E64D1"/>
    <w:rsid w:val="008E6873"/>
    <w:rsid w:val="008E72A8"/>
    <w:rsid w:val="008F12E5"/>
    <w:rsid w:val="008F31FE"/>
    <w:rsid w:val="00903257"/>
    <w:rsid w:val="00912857"/>
    <w:rsid w:val="0091561D"/>
    <w:rsid w:val="00915F77"/>
    <w:rsid w:val="00917F93"/>
    <w:rsid w:val="009230D9"/>
    <w:rsid w:val="00923766"/>
    <w:rsid w:val="00931B67"/>
    <w:rsid w:val="00932914"/>
    <w:rsid w:val="0093313F"/>
    <w:rsid w:val="00936442"/>
    <w:rsid w:val="00937C1A"/>
    <w:rsid w:val="0094161E"/>
    <w:rsid w:val="00946C40"/>
    <w:rsid w:val="00950469"/>
    <w:rsid w:val="00950602"/>
    <w:rsid w:val="00951FFE"/>
    <w:rsid w:val="00953AEA"/>
    <w:rsid w:val="00955A96"/>
    <w:rsid w:val="00956112"/>
    <w:rsid w:val="0095696D"/>
    <w:rsid w:val="00960274"/>
    <w:rsid w:val="00962DEF"/>
    <w:rsid w:val="009647AB"/>
    <w:rsid w:val="00967A34"/>
    <w:rsid w:val="00970818"/>
    <w:rsid w:val="00971933"/>
    <w:rsid w:val="00972327"/>
    <w:rsid w:val="00973256"/>
    <w:rsid w:val="00975414"/>
    <w:rsid w:val="0097650D"/>
    <w:rsid w:val="00976B69"/>
    <w:rsid w:val="00981A24"/>
    <w:rsid w:val="00982CA1"/>
    <w:rsid w:val="00982ED1"/>
    <w:rsid w:val="0098302C"/>
    <w:rsid w:val="00984828"/>
    <w:rsid w:val="009861C6"/>
    <w:rsid w:val="0099145D"/>
    <w:rsid w:val="00991AE0"/>
    <w:rsid w:val="00992323"/>
    <w:rsid w:val="00992433"/>
    <w:rsid w:val="0099471C"/>
    <w:rsid w:val="00994996"/>
    <w:rsid w:val="0099655E"/>
    <w:rsid w:val="009A388B"/>
    <w:rsid w:val="009A40CA"/>
    <w:rsid w:val="009A62DC"/>
    <w:rsid w:val="009A6AA0"/>
    <w:rsid w:val="009B1D1F"/>
    <w:rsid w:val="009B47FD"/>
    <w:rsid w:val="009B5E57"/>
    <w:rsid w:val="009B7048"/>
    <w:rsid w:val="009C03CE"/>
    <w:rsid w:val="009C1A41"/>
    <w:rsid w:val="009C4234"/>
    <w:rsid w:val="009C556D"/>
    <w:rsid w:val="009C5EF8"/>
    <w:rsid w:val="009C61F6"/>
    <w:rsid w:val="009D1197"/>
    <w:rsid w:val="009D3CBE"/>
    <w:rsid w:val="009D7494"/>
    <w:rsid w:val="009E375F"/>
    <w:rsid w:val="009E38D8"/>
    <w:rsid w:val="009E4039"/>
    <w:rsid w:val="009E4CE4"/>
    <w:rsid w:val="009E4DD0"/>
    <w:rsid w:val="009E581E"/>
    <w:rsid w:val="009E6114"/>
    <w:rsid w:val="009E68C8"/>
    <w:rsid w:val="009E71B5"/>
    <w:rsid w:val="009E7C8A"/>
    <w:rsid w:val="009F0189"/>
    <w:rsid w:val="009F0E69"/>
    <w:rsid w:val="009F164D"/>
    <w:rsid w:val="009F1B22"/>
    <w:rsid w:val="009F356F"/>
    <w:rsid w:val="009F5AF7"/>
    <w:rsid w:val="009F6219"/>
    <w:rsid w:val="009F76BC"/>
    <w:rsid w:val="00A00546"/>
    <w:rsid w:val="00A01A00"/>
    <w:rsid w:val="00A03C26"/>
    <w:rsid w:val="00A04DEA"/>
    <w:rsid w:val="00A05C28"/>
    <w:rsid w:val="00A066C0"/>
    <w:rsid w:val="00A06E20"/>
    <w:rsid w:val="00A1008B"/>
    <w:rsid w:val="00A11B34"/>
    <w:rsid w:val="00A125E9"/>
    <w:rsid w:val="00A13C51"/>
    <w:rsid w:val="00A14244"/>
    <w:rsid w:val="00A17B86"/>
    <w:rsid w:val="00A214FA"/>
    <w:rsid w:val="00A23D5E"/>
    <w:rsid w:val="00A30469"/>
    <w:rsid w:val="00A307DB"/>
    <w:rsid w:val="00A30FFE"/>
    <w:rsid w:val="00A32636"/>
    <w:rsid w:val="00A33076"/>
    <w:rsid w:val="00A342A7"/>
    <w:rsid w:val="00A34618"/>
    <w:rsid w:val="00A3527D"/>
    <w:rsid w:val="00A366F8"/>
    <w:rsid w:val="00A37DAB"/>
    <w:rsid w:val="00A40FFB"/>
    <w:rsid w:val="00A41BBA"/>
    <w:rsid w:val="00A432BF"/>
    <w:rsid w:val="00A433A1"/>
    <w:rsid w:val="00A439CD"/>
    <w:rsid w:val="00A457E8"/>
    <w:rsid w:val="00A46B39"/>
    <w:rsid w:val="00A47A90"/>
    <w:rsid w:val="00A50F4E"/>
    <w:rsid w:val="00A57073"/>
    <w:rsid w:val="00A61EA4"/>
    <w:rsid w:val="00A6475A"/>
    <w:rsid w:val="00A65DEE"/>
    <w:rsid w:val="00A707E6"/>
    <w:rsid w:val="00A72A8B"/>
    <w:rsid w:val="00A76FE3"/>
    <w:rsid w:val="00A81C7F"/>
    <w:rsid w:val="00A82525"/>
    <w:rsid w:val="00A82ADC"/>
    <w:rsid w:val="00A8411C"/>
    <w:rsid w:val="00A84F95"/>
    <w:rsid w:val="00A8500F"/>
    <w:rsid w:val="00A86742"/>
    <w:rsid w:val="00A91EB7"/>
    <w:rsid w:val="00A9362D"/>
    <w:rsid w:val="00A94518"/>
    <w:rsid w:val="00A94F20"/>
    <w:rsid w:val="00AA5E93"/>
    <w:rsid w:val="00AA7491"/>
    <w:rsid w:val="00AB0FCF"/>
    <w:rsid w:val="00AB337A"/>
    <w:rsid w:val="00AB3F75"/>
    <w:rsid w:val="00AB7AE0"/>
    <w:rsid w:val="00AC5636"/>
    <w:rsid w:val="00AC6F8E"/>
    <w:rsid w:val="00AD330E"/>
    <w:rsid w:val="00AD423C"/>
    <w:rsid w:val="00AD625F"/>
    <w:rsid w:val="00AD76CB"/>
    <w:rsid w:val="00AD7E54"/>
    <w:rsid w:val="00AE0941"/>
    <w:rsid w:val="00AE3492"/>
    <w:rsid w:val="00AE4C12"/>
    <w:rsid w:val="00AE5079"/>
    <w:rsid w:val="00AE63D3"/>
    <w:rsid w:val="00AF03CB"/>
    <w:rsid w:val="00AF0C1C"/>
    <w:rsid w:val="00AF4A93"/>
    <w:rsid w:val="00AF4B65"/>
    <w:rsid w:val="00AF5725"/>
    <w:rsid w:val="00B000AE"/>
    <w:rsid w:val="00B06532"/>
    <w:rsid w:val="00B068A3"/>
    <w:rsid w:val="00B070F4"/>
    <w:rsid w:val="00B07C91"/>
    <w:rsid w:val="00B22288"/>
    <w:rsid w:val="00B2296C"/>
    <w:rsid w:val="00B2517E"/>
    <w:rsid w:val="00B25320"/>
    <w:rsid w:val="00B25B95"/>
    <w:rsid w:val="00B272DC"/>
    <w:rsid w:val="00B30DBA"/>
    <w:rsid w:val="00B36E6A"/>
    <w:rsid w:val="00B40513"/>
    <w:rsid w:val="00B41809"/>
    <w:rsid w:val="00B41A04"/>
    <w:rsid w:val="00B41BC8"/>
    <w:rsid w:val="00B4401C"/>
    <w:rsid w:val="00B46673"/>
    <w:rsid w:val="00B51902"/>
    <w:rsid w:val="00B54343"/>
    <w:rsid w:val="00B60603"/>
    <w:rsid w:val="00B61592"/>
    <w:rsid w:val="00B615C2"/>
    <w:rsid w:val="00B6293C"/>
    <w:rsid w:val="00B67A4A"/>
    <w:rsid w:val="00B73AD7"/>
    <w:rsid w:val="00B741A8"/>
    <w:rsid w:val="00B74322"/>
    <w:rsid w:val="00B745AB"/>
    <w:rsid w:val="00B75A7C"/>
    <w:rsid w:val="00B769B1"/>
    <w:rsid w:val="00B80F42"/>
    <w:rsid w:val="00B8246E"/>
    <w:rsid w:val="00B8360F"/>
    <w:rsid w:val="00B90091"/>
    <w:rsid w:val="00B97E4D"/>
    <w:rsid w:val="00BA1424"/>
    <w:rsid w:val="00BA26AD"/>
    <w:rsid w:val="00BA6071"/>
    <w:rsid w:val="00BA60EA"/>
    <w:rsid w:val="00BB1567"/>
    <w:rsid w:val="00BB227A"/>
    <w:rsid w:val="00BB4139"/>
    <w:rsid w:val="00BB5341"/>
    <w:rsid w:val="00BC10FE"/>
    <w:rsid w:val="00BC1B09"/>
    <w:rsid w:val="00BC2470"/>
    <w:rsid w:val="00BC48E4"/>
    <w:rsid w:val="00BC4D44"/>
    <w:rsid w:val="00BD190A"/>
    <w:rsid w:val="00BE1A61"/>
    <w:rsid w:val="00BE29AE"/>
    <w:rsid w:val="00BE46F0"/>
    <w:rsid w:val="00BE5B08"/>
    <w:rsid w:val="00BF3D7E"/>
    <w:rsid w:val="00BF4BEC"/>
    <w:rsid w:val="00BF4D89"/>
    <w:rsid w:val="00C00221"/>
    <w:rsid w:val="00C036C6"/>
    <w:rsid w:val="00C04899"/>
    <w:rsid w:val="00C04E92"/>
    <w:rsid w:val="00C07917"/>
    <w:rsid w:val="00C15748"/>
    <w:rsid w:val="00C174BB"/>
    <w:rsid w:val="00C2096C"/>
    <w:rsid w:val="00C21AEA"/>
    <w:rsid w:val="00C21E7D"/>
    <w:rsid w:val="00C22192"/>
    <w:rsid w:val="00C2281E"/>
    <w:rsid w:val="00C272B8"/>
    <w:rsid w:val="00C3358A"/>
    <w:rsid w:val="00C34698"/>
    <w:rsid w:val="00C360DA"/>
    <w:rsid w:val="00C36826"/>
    <w:rsid w:val="00C37494"/>
    <w:rsid w:val="00C37718"/>
    <w:rsid w:val="00C40E3B"/>
    <w:rsid w:val="00C41404"/>
    <w:rsid w:val="00C41F91"/>
    <w:rsid w:val="00C42D7B"/>
    <w:rsid w:val="00C42FB8"/>
    <w:rsid w:val="00C4334D"/>
    <w:rsid w:val="00C4778F"/>
    <w:rsid w:val="00C53314"/>
    <w:rsid w:val="00C545C1"/>
    <w:rsid w:val="00C546B8"/>
    <w:rsid w:val="00C54996"/>
    <w:rsid w:val="00C54C68"/>
    <w:rsid w:val="00C5537E"/>
    <w:rsid w:val="00C55908"/>
    <w:rsid w:val="00C55C59"/>
    <w:rsid w:val="00C57DCE"/>
    <w:rsid w:val="00C61831"/>
    <w:rsid w:val="00C61AAB"/>
    <w:rsid w:val="00C633F1"/>
    <w:rsid w:val="00C65EA1"/>
    <w:rsid w:val="00C71BC0"/>
    <w:rsid w:val="00C72435"/>
    <w:rsid w:val="00C7435E"/>
    <w:rsid w:val="00C747AB"/>
    <w:rsid w:val="00C7493B"/>
    <w:rsid w:val="00C77D5E"/>
    <w:rsid w:val="00C82FD2"/>
    <w:rsid w:val="00C83F08"/>
    <w:rsid w:val="00C9039E"/>
    <w:rsid w:val="00C93B6D"/>
    <w:rsid w:val="00C96F79"/>
    <w:rsid w:val="00CA1337"/>
    <w:rsid w:val="00CA21DA"/>
    <w:rsid w:val="00CA5943"/>
    <w:rsid w:val="00CB1A1E"/>
    <w:rsid w:val="00CB40C0"/>
    <w:rsid w:val="00CB5D5E"/>
    <w:rsid w:val="00CB6CC6"/>
    <w:rsid w:val="00CB71DA"/>
    <w:rsid w:val="00CB7F58"/>
    <w:rsid w:val="00CC0B34"/>
    <w:rsid w:val="00CC18D5"/>
    <w:rsid w:val="00CC2CBF"/>
    <w:rsid w:val="00CC4D83"/>
    <w:rsid w:val="00CD2793"/>
    <w:rsid w:val="00CD5D05"/>
    <w:rsid w:val="00CE1BAD"/>
    <w:rsid w:val="00CE399A"/>
    <w:rsid w:val="00CE4EDF"/>
    <w:rsid w:val="00CE5EFB"/>
    <w:rsid w:val="00CE6AAD"/>
    <w:rsid w:val="00CE70FA"/>
    <w:rsid w:val="00CF2BD4"/>
    <w:rsid w:val="00CF5D4C"/>
    <w:rsid w:val="00D007A0"/>
    <w:rsid w:val="00D02724"/>
    <w:rsid w:val="00D02A1A"/>
    <w:rsid w:val="00D043F4"/>
    <w:rsid w:val="00D077CB"/>
    <w:rsid w:val="00D10094"/>
    <w:rsid w:val="00D10EB7"/>
    <w:rsid w:val="00D12324"/>
    <w:rsid w:val="00D16BA1"/>
    <w:rsid w:val="00D17D6C"/>
    <w:rsid w:val="00D21172"/>
    <w:rsid w:val="00D2254D"/>
    <w:rsid w:val="00D252B5"/>
    <w:rsid w:val="00D25EBE"/>
    <w:rsid w:val="00D332B3"/>
    <w:rsid w:val="00D348B9"/>
    <w:rsid w:val="00D409A7"/>
    <w:rsid w:val="00D423F8"/>
    <w:rsid w:val="00D455FC"/>
    <w:rsid w:val="00D45C25"/>
    <w:rsid w:val="00D46503"/>
    <w:rsid w:val="00D47A5F"/>
    <w:rsid w:val="00D524A9"/>
    <w:rsid w:val="00D52948"/>
    <w:rsid w:val="00D57A8A"/>
    <w:rsid w:val="00D61FD6"/>
    <w:rsid w:val="00D62241"/>
    <w:rsid w:val="00D64C82"/>
    <w:rsid w:val="00D6558F"/>
    <w:rsid w:val="00D655F1"/>
    <w:rsid w:val="00D6661F"/>
    <w:rsid w:val="00D70EF0"/>
    <w:rsid w:val="00D73863"/>
    <w:rsid w:val="00D7743D"/>
    <w:rsid w:val="00D77B87"/>
    <w:rsid w:val="00D8252B"/>
    <w:rsid w:val="00D840BE"/>
    <w:rsid w:val="00D84962"/>
    <w:rsid w:val="00D863CC"/>
    <w:rsid w:val="00D93F57"/>
    <w:rsid w:val="00D94193"/>
    <w:rsid w:val="00D9475D"/>
    <w:rsid w:val="00D94B5A"/>
    <w:rsid w:val="00D95C8C"/>
    <w:rsid w:val="00D972E3"/>
    <w:rsid w:val="00DA006B"/>
    <w:rsid w:val="00DA0DA0"/>
    <w:rsid w:val="00DA4C7E"/>
    <w:rsid w:val="00DA5E64"/>
    <w:rsid w:val="00DA6E04"/>
    <w:rsid w:val="00DB17EF"/>
    <w:rsid w:val="00DB22E6"/>
    <w:rsid w:val="00DB29EA"/>
    <w:rsid w:val="00DB4B68"/>
    <w:rsid w:val="00DB4FDB"/>
    <w:rsid w:val="00DB5805"/>
    <w:rsid w:val="00DB5FF2"/>
    <w:rsid w:val="00DC0152"/>
    <w:rsid w:val="00DC2226"/>
    <w:rsid w:val="00DC2EA9"/>
    <w:rsid w:val="00DC2F91"/>
    <w:rsid w:val="00DC5A63"/>
    <w:rsid w:val="00DC7861"/>
    <w:rsid w:val="00DD128D"/>
    <w:rsid w:val="00DD1451"/>
    <w:rsid w:val="00DD19EA"/>
    <w:rsid w:val="00DD68E3"/>
    <w:rsid w:val="00DD71BC"/>
    <w:rsid w:val="00DE0B4F"/>
    <w:rsid w:val="00DE0CDB"/>
    <w:rsid w:val="00DE1C21"/>
    <w:rsid w:val="00DE2408"/>
    <w:rsid w:val="00DE2F5D"/>
    <w:rsid w:val="00DE568C"/>
    <w:rsid w:val="00DE62E6"/>
    <w:rsid w:val="00DF0CA1"/>
    <w:rsid w:val="00DF2ACB"/>
    <w:rsid w:val="00DF534A"/>
    <w:rsid w:val="00DF64AF"/>
    <w:rsid w:val="00DF65DE"/>
    <w:rsid w:val="00DF76DD"/>
    <w:rsid w:val="00E04CD5"/>
    <w:rsid w:val="00E06DCD"/>
    <w:rsid w:val="00E104AF"/>
    <w:rsid w:val="00E12636"/>
    <w:rsid w:val="00E1419A"/>
    <w:rsid w:val="00E154BE"/>
    <w:rsid w:val="00E163A8"/>
    <w:rsid w:val="00E16B3B"/>
    <w:rsid w:val="00E17D0F"/>
    <w:rsid w:val="00E22B35"/>
    <w:rsid w:val="00E24AF2"/>
    <w:rsid w:val="00E279BA"/>
    <w:rsid w:val="00E31057"/>
    <w:rsid w:val="00E3124E"/>
    <w:rsid w:val="00E31506"/>
    <w:rsid w:val="00E33C34"/>
    <w:rsid w:val="00E35B60"/>
    <w:rsid w:val="00E374A3"/>
    <w:rsid w:val="00E37697"/>
    <w:rsid w:val="00E4041B"/>
    <w:rsid w:val="00E41357"/>
    <w:rsid w:val="00E4165C"/>
    <w:rsid w:val="00E42BB8"/>
    <w:rsid w:val="00E43AF9"/>
    <w:rsid w:val="00E4513A"/>
    <w:rsid w:val="00E466A7"/>
    <w:rsid w:val="00E50F54"/>
    <w:rsid w:val="00E53266"/>
    <w:rsid w:val="00E54839"/>
    <w:rsid w:val="00E566CC"/>
    <w:rsid w:val="00E568F7"/>
    <w:rsid w:val="00E57ADC"/>
    <w:rsid w:val="00E6560A"/>
    <w:rsid w:val="00E65B55"/>
    <w:rsid w:val="00E66E6F"/>
    <w:rsid w:val="00E678F5"/>
    <w:rsid w:val="00E71C21"/>
    <w:rsid w:val="00E73049"/>
    <w:rsid w:val="00E73193"/>
    <w:rsid w:val="00E73504"/>
    <w:rsid w:val="00E74C0F"/>
    <w:rsid w:val="00E77051"/>
    <w:rsid w:val="00E81F18"/>
    <w:rsid w:val="00E841C3"/>
    <w:rsid w:val="00E96BD2"/>
    <w:rsid w:val="00E97DFA"/>
    <w:rsid w:val="00EA05C3"/>
    <w:rsid w:val="00EA0C97"/>
    <w:rsid w:val="00EA0E0C"/>
    <w:rsid w:val="00EA1E3C"/>
    <w:rsid w:val="00EA2360"/>
    <w:rsid w:val="00EA2E6F"/>
    <w:rsid w:val="00EA4446"/>
    <w:rsid w:val="00EA45C8"/>
    <w:rsid w:val="00EA6C05"/>
    <w:rsid w:val="00EB460D"/>
    <w:rsid w:val="00EB4FBB"/>
    <w:rsid w:val="00EB5181"/>
    <w:rsid w:val="00EC1F55"/>
    <w:rsid w:val="00EC2A07"/>
    <w:rsid w:val="00EC2C6D"/>
    <w:rsid w:val="00EC5EB1"/>
    <w:rsid w:val="00EC636D"/>
    <w:rsid w:val="00EC7481"/>
    <w:rsid w:val="00ED028B"/>
    <w:rsid w:val="00ED0D90"/>
    <w:rsid w:val="00ED649A"/>
    <w:rsid w:val="00ED7629"/>
    <w:rsid w:val="00ED7E39"/>
    <w:rsid w:val="00EE1DFD"/>
    <w:rsid w:val="00EE5102"/>
    <w:rsid w:val="00EF1657"/>
    <w:rsid w:val="00EF4517"/>
    <w:rsid w:val="00EF60FA"/>
    <w:rsid w:val="00F016F6"/>
    <w:rsid w:val="00F07EBE"/>
    <w:rsid w:val="00F101A3"/>
    <w:rsid w:val="00F1181A"/>
    <w:rsid w:val="00F13552"/>
    <w:rsid w:val="00F17029"/>
    <w:rsid w:val="00F21569"/>
    <w:rsid w:val="00F21BAF"/>
    <w:rsid w:val="00F21BE5"/>
    <w:rsid w:val="00F2311A"/>
    <w:rsid w:val="00F2337D"/>
    <w:rsid w:val="00F24B0F"/>
    <w:rsid w:val="00F25B8F"/>
    <w:rsid w:val="00F3237C"/>
    <w:rsid w:val="00F3308F"/>
    <w:rsid w:val="00F35649"/>
    <w:rsid w:val="00F36A5D"/>
    <w:rsid w:val="00F36CBA"/>
    <w:rsid w:val="00F37216"/>
    <w:rsid w:val="00F4006E"/>
    <w:rsid w:val="00F431E8"/>
    <w:rsid w:val="00F4374E"/>
    <w:rsid w:val="00F442C3"/>
    <w:rsid w:val="00F47FE2"/>
    <w:rsid w:val="00F50176"/>
    <w:rsid w:val="00F5159A"/>
    <w:rsid w:val="00F5198B"/>
    <w:rsid w:val="00F52894"/>
    <w:rsid w:val="00F52DFE"/>
    <w:rsid w:val="00F54B00"/>
    <w:rsid w:val="00F5529F"/>
    <w:rsid w:val="00F6184B"/>
    <w:rsid w:val="00F625D5"/>
    <w:rsid w:val="00F626A6"/>
    <w:rsid w:val="00F64A0F"/>
    <w:rsid w:val="00F71F68"/>
    <w:rsid w:val="00F73669"/>
    <w:rsid w:val="00F8284D"/>
    <w:rsid w:val="00F83696"/>
    <w:rsid w:val="00F9034A"/>
    <w:rsid w:val="00F9041D"/>
    <w:rsid w:val="00F9502C"/>
    <w:rsid w:val="00F95A86"/>
    <w:rsid w:val="00FA0D67"/>
    <w:rsid w:val="00FA2FC3"/>
    <w:rsid w:val="00FA5F53"/>
    <w:rsid w:val="00FA66C4"/>
    <w:rsid w:val="00FA7C4F"/>
    <w:rsid w:val="00FA7FA9"/>
    <w:rsid w:val="00FB0B16"/>
    <w:rsid w:val="00FB2D5F"/>
    <w:rsid w:val="00FB3597"/>
    <w:rsid w:val="00FB437C"/>
    <w:rsid w:val="00FC2AB3"/>
    <w:rsid w:val="00FC37CC"/>
    <w:rsid w:val="00FC3A82"/>
    <w:rsid w:val="00FC3ABA"/>
    <w:rsid w:val="00FC794A"/>
    <w:rsid w:val="00FD0746"/>
    <w:rsid w:val="00FD47F9"/>
    <w:rsid w:val="00FE0C6F"/>
    <w:rsid w:val="00FE10CE"/>
    <w:rsid w:val="00FE15AC"/>
    <w:rsid w:val="00FE1B94"/>
    <w:rsid w:val="00FE7AB0"/>
    <w:rsid w:val="00FE7B98"/>
    <w:rsid w:val="00FF0D9A"/>
    <w:rsid w:val="00FF1D1C"/>
    <w:rsid w:val="00FF2DC7"/>
    <w:rsid w:val="00FF3009"/>
    <w:rsid w:val="00FF471A"/>
    <w:rsid w:val="00FF4D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AD1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70139"/>
    <w:pPr>
      <w:keepNext/>
      <w:pBdr>
        <w:bottom w:val="single" w:sz="4" w:space="1" w:color="auto"/>
      </w:pBdr>
      <w:suppressAutoHyphens/>
      <w:spacing w:before="400"/>
      <w:outlineLvl w:val="0"/>
    </w:pPr>
    <w:rPr>
      <w:rFonts w:ascii="Gill Sans MT" w:eastAsia="Calibri" w:hAnsi="Gill Sans MT"/>
      <w:sz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70139"/>
    <w:rPr>
      <w:rFonts w:ascii="Gill Sans MT" w:eastAsia="Calibri" w:hAnsi="Gill Sans MT" w:cs="Times New Roman"/>
      <w:sz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2546A1"/>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CE4EDF"/>
    <w:pPr>
      <w:numPr>
        <w:numId w:val="3"/>
      </w:numPr>
      <w:tabs>
        <w:tab w:val="clear" w:pos="360"/>
        <w:tab w:val="num" w:pos="432"/>
      </w:tabs>
      <w:spacing w:after="120"/>
      <w:ind w:left="432" w:hanging="216"/>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 w:type="character" w:styleId="PlaceholderText">
    <w:name w:val="Placeholder Text"/>
    <w:basedOn w:val="DefaultParagraphFont"/>
    <w:uiPriority w:val="99"/>
    <w:semiHidden/>
    <w:rsid w:val="00AC6F8E"/>
    <w:rPr>
      <w:color w:val="808080"/>
    </w:rPr>
  </w:style>
  <w:style w:type="character" w:customStyle="1" w:styleId="body">
    <w:name w:val="body"/>
    <w:basedOn w:val="DefaultParagraphFont"/>
    <w:rsid w:val="00B741A8"/>
  </w:style>
  <w:style w:type="paragraph" w:styleId="List">
    <w:name w:val="List"/>
    <w:basedOn w:val="Normal"/>
    <w:uiPriority w:val="99"/>
    <w:unhideWhenUsed/>
    <w:rsid w:val="00AF4B65"/>
    <w:pPr>
      <w:ind w:left="360" w:hanging="360"/>
      <w:contextualSpacing/>
    </w:pPr>
  </w:style>
  <w:style w:type="paragraph" w:styleId="ListNumber3">
    <w:name w:val="List Number 3"/>
    <w:basedOn w:val="Normal"/>
    <w:uiPriority w:val="99"/>
    <w:unhideWhenUsed/>
    <w:rsid w:val="00E04CD5"/>
    <w:pPr>
      <w:numPr>
        <w:numId w:val="11"/>
      </w:numPr>
      <w:contextualSpacing/>
    </w:pPr>
  </w:style>
  <w:style w:type="paragraph" w:styleId="ListNumber4">
    <w:name w:val="List Number 4"/>
    <w:basedOn w:val="Normal"/>
    <w:uiPriority w:val="99"/>
    <w:unhideWhenUsed/>
    <w:rsid w:val="00E04CD5"/>
    <w:pPr>
      <w:numPr>
        <w:numId w:val="1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70139"/>
    <w:pPr>
      <w:keepNext/>
      <w:pBdr>
        <w:bottom w:val="single" w:sz="4" w:space="1" w:color="auto"/>
      </w:pBdr>
      <w:suppressAutoHyphens/>
      <w:spacing w:before="400"/>
      <w:outlineLvl w:val="0"/>
    </w:pPr>
    <w:rPr>
      <w:rFonts w:ascii="Gill Sans MT" w:eastAsia="Calibri" w:hAnsi="Gill Sans MT"/>
      <w:sz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70139"/>
    <w:rPr>
      <w:rFonts w:ascii="Gill Sans MT" w:eastAsia="Calibri" w:hAnsi="Gill Sans MT" w:cs="Times New Roman"/>
      <w:sz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2546A1"/>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CE4EDF"/>
    <w:pPr>
      <w:numPr>
        <w:numId w:val="3"/>
      </w:numPr>
      <w:tabs>
        <w:tab w:val="clear" w:pos="360"/>
        <w:tab w:val="num" w:pos="432"/>
      </w:tabs>
      <w:spacing w:after="120"/>
      <w:ind w:left="432" w:hanging="216"/>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 w:type="character" w:styleId="PlaceholderText">
    <w:name w:val="Placeholder Text"/>
    <w:basedOn w:val="DefaultParagraphFont"/>
    <w:uiPriority w:val="99"/>
    <w:semiHidden/>
    <w:rsid w:val="00AC6F8E"/>
    <w:rPr>
      <w:color w:val="808080"/>
    </w:rPr>
  </w:style>
  <w:style w:type="character" w:customStyle="1" w:styleId="body">
    <w:name w:val="body"/>
    <w:basedOn w:val="DefaultParagraphFont"/>
    <w:rsid w:val="00B741A8"/>
  </w:style>
  <w:style w:type="paragraph" w:styleId="List">
    <w:name w:val="List"/>
    <w:basedOn w:val="Normal"/>
    <w:uiPriority w:val="99"/>
    <w:unhideWhenUsed/>
    <w:rsid w:val="00AF4B65"/>
    <w:pPr>
      <w:ind w:left="360" w:hanging="360"/>
      <w:contextualSpacing/>
    </w:pPr>
  </w:style>
  <w:style w:type="paragraph" w:styleId="ListNumber3">
    <w:name w:val="List Number 3"/>
    <w:basedOn w:val="Normal"/>
    <w:uiPriority w:val="99"/>
    <w:unhideWhenUsed/>
    <w:rsid w:val="00E04CD5"/>
    <w:pPr>
      <w:numPr>
        <w:numId w:val="11"/>
      </w:numPr>
      <w:contextualSpacing/>
    </w:pPr>
  </w:style>
  <w:style w:type="paragraph" w:styleId="ListNumber4">
    <w:name w:val="List Number 4"/>
    <w:basedOn w:val="Normal"/>
    <w:uiPriority w:val="99"/>
    <w:unhideWhenUsed/>
    <w:rsid w:val="00E04CD5"/>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24340750">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asestudies.uli.org/encore/" TargetMode="External"/><Relationship Id="rId21" Type="http://schemas.openxmlformats.org/officeDocument/2006/relationships/hyperlink" Target="https://casestudies.uli.org/glenwood-park-4/" TargetMode="External"/><Relationship Id="rId22" Type="http://schemas.openxmlformats.org/officeDocument/2006/relationships/hyperlink" Target="https://casestudies.uli.org/harbor-town/" TargetMode="External"/><Relationship Id="rId23" Type="http://schemas.openxmlformats.org/officeDocument/2006/relationships/hyperlink" Target="https://casestudies.uli.org/kentlands-5/" TargetMode="External"/><Relationship Id="rId24" Type="http://schemas.openxmlformats.org/officeDocument/2006/relationships/hyperlink" Target="https://casestudies.uli.org/stapleton-district-1/" TargetMode="External"/><Relationship Id="rId25" Type="http://schemas.openxmlformats.org/officeDocument/2006/relationships/hyperlink" Target="https://casestudies.uli.org/the-glen/" TargetMode="External"/><Relationship Id="rId26" Type="http://schemas.openxmlformats.org/officeDocument/2006/relationships/hyperlink" Target="https://casestudies.uli.org/" TargetMode="External"/><Relationship Id="rId27" Type="http://schemas.openxmlformats.org/officeDocument/2006/relationships/hyperlink" Target="http://conservationtools.org/library_items/736" TargetMode="External"/><Relationship Id="rId28" Type="http://schemas.openxmlformats.org/officeDocument/2006/relationships/hyperlink" Target="http://conservationtools.org/guides/46" TargetMode="External"/><Relationship Id="rId29" Type="http://schemas.openxmlformats.org/officeDocument/2006/relationships/hyperlink" Target="mailto:aloza@conservelan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nservationtools.org/experts/962" TargetMode="External"/><Relationship Id="rId31" Type="http://schemas.openxmlformats.org/officeDocument/2006/relationships/hyperlink" Target="http://conservationtools.org" TargetMode="External"/><Relationship Id="rId32" Type="http://schemas.openxmlformats.org/officeDocument/2006/relationships/header" Target="header1.xml"/><Relationship Id="rId9" Type="http://schemas.openxmlformats.org/officeDocument/2006/relationships/hyperlink" Target="http://www.conservationtools.org/glossary/27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header" Target="header3.xml"/><Relationship Id="rId36" Type="http://schemas.openxmlformats.org/officeDocument/2006/relationships/footer" Target="footer2.xml"/><Relationship Id="rId10" Type="http://schemas.openxmlformats.org/officeDocument/2006/relationships/hyperlink" Target="http://conservationtools.org/guides/12" TargetMode="External"/><Relationship Id="rId11" Type="http://schemas.openxmlformats.org/officeDocument/2006/relationships/hyperlink" Target="http://www.usgbc.org/guide/nd" TargetMode="External"/><Relationship Id="rId12" Type="http://schemas.openxmlformats.org/officeDocument/2006/relationships/hyperlink" Target="http://eagleviewtowncenter.com/" TargetMode="External"/><Relationship Id="rId13" Type="http://schemas.openxmlformats.org/officeDocument/2006/relationships/hyperlink" Target="http://charterhomes.com/locations/central-pa/florin-hill/" TargetMode="External"/><Relationship Id="rId14" Type="http://schemas.openxmlformats.org/officeDocument/2006/relationships/hyperlink" Target="http://comitta.com/project/lantern-hill-tnd/" TargetMode="External"/><Relationship Id="rId15" Type="http://schemas.openxmlformats.org/officeDocument/2006/relationships/hyperlink" Target="https://casestudies.uli.org/millcreek-5/" TargetMode="External"/><Relationship Id="rId16" Type="http://schemas.openxmlformats.org/officeDocument/2006/relationships/hyperlink" Target="http://www.arcadialand.com/development/portfolio/new-daleville/" TargetMode="External"/><Relationship Id="rId17" Type="http://schemas.openxmlformats.org/officeDocument/2006/relationships/hyperlink" Target="http://summersetatfrickpark.com/" TargetMode="External"/><Relationship Id="rId18" Type="http://schemas.openxmlformats.org/officeDocument/2006/relationships/hyperlink" Target="http://www.villageatvalleyforge.com/" TargetMode="External"/><Relationship Id="rId19" Type="http://schemas.openxmlformats.org/officeDocument/2006/relationships/hyperlink" Target="https://casestudies.uli.org/daniel-island-2/"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7B7A-C05F-E046-993B-B504295C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2652</Words>
  <Characters>15118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17735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 Loza</dc:creator>
  <cp:keywords/>
  <dc:description/>
  <cp:lastModifiedBy>Carol Grayshaw</cp:lastModifiedBy>
  <cp:revision>5</cp:revision>
  <cp:lastPrinted>2017-04-12T16:36:00Z</cp:lastPrinted>
  <dcterms:created xsi:type="dcterms:W3CDTF">2017-06-23T20:33:00Z</dcterms:created>
  <dcterms:modified xsi:type="dcterms:W3CDTF">2017-06-28T17:37:00Z</dcterms:modified>
  <cp:category/>
</cp:coreProperties>
</file>